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D5F1" w14:textId="1EE8BA29" w:rsidR="00110A0B" w:rsidRPr="006734B4" w:rsidRDefault="00871B42" w:rsidP="006734B4">
      <w:pPr>
        <w:spacing w:after="0"/>
        <w:rPr>
          <w:rFonts w:ascii="Times New Roman" w:hAnsi="Times New Roman" w:cs="Times New Roman"/>
          <w:b/>
          <w:bCs/>
          <w:u w:val="single"/>
        </w:rPr>
      </w:pPr>
      <w:r w:rsidRPr="006734B4">
        <w:rPr>
          <w:rFonts w:ascii="Times New Roman" w:hAnsi="Times New Roman" w:cs="Times New Roman"/>
          <w:b/>
          <w:bCs/>
          <w:u w:val="single"/>
        </w:rPr>
        <w:t xml:space="preserve">If </w:t>
      </w:r>
      <w:r w:rsidR="003040CE" w:rsidRPr="006734B4">
        <w:rPr>
          <w:rFonts w:ascii="Times New Roman" w:hAnsi="Times New Roman" w:cs="Times New Roman"/>
          <w:b/>
          <w:bCs/>
          <w:u w:val="single"/>
        </w:rPr>
        <w:t>You Receive Compensation</w:t>
      </w:r>
    </w:p>
    <w:p w14:paraId="7CB4AEE4" w14:textId="77777777" w:rsidR="00110A0B" w:rsidRPr="006734B4" w:rsidRDefault="00110A0B" w:rsidP="006734B4">
      <w:pPr>
        <w:pStyle w:val="NormalWeb"/>
        <w:spacing w:after="0" w:afterAutospacing="0"/>
      </w:pPr>
      <w:r w:rsidRPr="006734B4">
        <w:t>If you're receiving Universal Credit and have been signed off from work, you generally need to declare any income you receive, even if it's already been taxed. Universal Credit calculations are based on your net income (after tax and deductions), so it's important to report it accurately. This ensures your payments are adjusted correctly.</w:t>
      </w:r>
    </w:p>
    <w:p w14:paraId="3AA64F20" w14:textId="77777777" w:rsidR="00110A0B" w:rsidRPr="006734B4" w:rsidRDefault="00110A0B" w:rsidP="006734B4">
      <w:pPr>
        <w:pStyle w:val="NormalWeb"/>
        <w:spacing w:after="0" w:afterAutospacing="0"/>
      </w:pPr>
      <w:r w:rsidRPr="006734B4">
        <w:t>For specific guidance tailored to your situation, you can check the Universal Credit and earnings guide or consult with the Department for Work and Pensions (DWP). Let me know if you'd like help navigating this further!</w:t>
      </w:r>
    </w:p>
    <w:p w14:paraId="06CD87C8" w14:textId="77777777" w:rsidR="00110A0B" w:rsidRPr="006734B4" w:rsidRDefault="00110A0B" w:rsidP="006734B4">
      <w:pPr>
        <w:pBdr>
          <w:bottom w:val="single" w:sz="6" w:space="1" w:color="auto"/>
        </w:pBdr>
        <w:spacing w:after="0"/>
        <w:rPr>
          <w:rFonts w:ascii="Times New Roman" w:hAnsi="Times New Roman" w:cs="Times New Roman"/>
        </w:rPr>
      </w:pPr>
    </w:p>
    <w:p w14:paraId="5AF6DB05" w14:textId="77777777" w:rsidR="00110A0B" w:rsidRPr="006734B4" w:rsidRDefault="00110A0B" w:rsidP="006734B4">
      <w:pPr>
        <w:pStyle w:val="NormalWeb"/>
        <w:spacing w:after="0" w:afterAutospacing="0"/>
      </w:pPr>
      <w:r w:rsidRPr="006734B4">
        <w:t>Yes, even if the income is from compensation and you're acting on your own behalf, it may still need to be declared for Universal Credit purposes. Universal Credit considers most types of income, including compensation, when calculating your entitlement. However, certain types of compensation, such as payments for personal injury, might be treated differently.</w:t>
      </w:r>
    </w:p>
    <w:p w14:paraId="4B3D37CA" w14:textId="77777777" w:rsidR="00110A0B" w:rsidRPr="006734B4" w:rsidRDefault="00110A0B" w:rsidP="006734B4">
      <w:pPr>
        <w:pStyle w:val="NormalWeb"/>
        <w:spacing w:after="0" w:afterAutospacing="0"/>
      </w:pPr>
      <w:r w:rsidRPr="006734B4">
        <w:t>To ensure you're handling this correctly, it's best to consult the Universal Credit guidance or contact the Department for Work and Pensions (DWP) directly. They can provide specific advice based on your circumstances. Let me know if you'd like help finding more details!</w:t>
      </w:r>
    </w:p>
    <w:p w14:paraId="3491A028" w14:textId="77777777" w:rsidR="00110A0B" w:rsidRPr="006734B4" w:rsidRDefault="00110A0B" w:rsidP="006734B4">
      <w:pPr>
        <w:pBdr>
          <w:bottom w:val="single" w:sz="6" w:space="1" w:color="auto"/>
        </w:pBdr>
        <w:spacing w:after="0"/>
        <w:rPr>
          <w:rFonts w:ascii="Times New Roman" w:hAnsi="Times New Roman" w:cs="Times New Roman"/>
        </w:rPr>
      </w:pPr>
    </w:p>
    <w:p w14:paraId="59D8E204" w14:textId="77777777" w:rsidR="00110A0B" w:rsidRPr="006734B4" w:rsidRDefault="00110A0B" w:rsidP="006734B4">
      <w:pPr>
        <w:pStyle w:val="NormalWeb"/>
        <w:spacing w:after="0" w:afterAutospacing="0"/>
      </w:pPr>
      <w:r w:rsidRPr="006734B4">
        <w:t>When it comes to Universal Credit, the way compensation and expenses are treated can vary depending on the nature of the payment and its intended purpose. Here's how this might work in your case:</w:t>
      </w:r>
    </w:p>
    <w:p w14:paraId="70639322"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Compensation for Train Tickets, Food, and Expenses</w:t>
      </w:r>
      <w:r w:rsidRPr="006734B4">
        <w:t>: If the compensation is simply reimbursing you for costs you incurred (like train tickets, food, and other expenses), it may not count as income for Universal Credit purposes. However, you would need to provide evidence that these payments were reimbursements and not additional income.</w:t>
      </w:r>
    </w:p>
    <w:p w14:paraId="37107DD5"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Legal Dispute Compensation</w:t>
      </w:r>
      <w:r w:rsidRPr="006734B4">
        <w:t>: If the compensation is for a legal dispute, it depends on the type of compensation. For example:</w:t>
      </w:r>
    </w:p>
    <w:p w14:paraId="0EB81F3C" w14:textId="77777777" w:rsidR="00110A0B" w:rsidRPr="006734B4" w:rsidRDefault="00110A0B" w:rsidP="006734B4">
      <w:pPr>
        <w:pStyle w:val="NormalWeb"/>
        <w:numPr>
          <w:ilvl w:val="1"/>
          <w:numId w:val="1"/>
        </w:numPr>
        <w:spacing w:after="0" w:afterAutospacing="0"/>
      </w:pPr>
      <w:r w:rsidRPr="006734B4">
        <w:t>Compensation for financial loss (like the cost of services you paid for but didn’t receive) might be treated as income.</w:t>
      </w:r>
    </w:p>
    <w:p w14:paraId="489305E1" w14:textId="77777777" w:rsidR="00110A0B" w:rsidRPr="006734B4" w:rsidRDefault="00110A0B" w:rsidP="006734B4">
      <w:pPr>
        <w:pStyle w:val="NormalWeb"/>
        <w:numPr>
          <w:ilvl w:val="1"/>
          <w:numId w:val="1"/>
        </w:numPr>
        <w:spacing w:after="0" w:afterAutospacing="0"/>
      </w:pPr>
      <w:r w:rsidRPr="006734B4">
        <w:t>Compensation for emotional distress or personal injury is usually disregarded.</w:t>
      </w:r>
    </w:p>
    <w:p w14:paraId="4B5574B6" w14:textId="77777777" w:rsidR="00110A0B" w:rsidRPr="006734B4" w:rsidRDefault="00110A0B" w:rsidP="006734B4">
      <w:pPr>
        <w:pStyle w:val="NormalWeb"/>
        <w:numPr>
          <w:ilvl w:val="0"/>
          <w:numId w:val="1"/>
        </w:numPr>
        <w:spacing w:after="0" w:afterAutospacing="0"/>
      </w:pPr>
      <w:r w:rsidRPr="00343B77">
        <w:rPr>
          <w:rStyle w:val="Strong"/>
          <w:rFonts w:eastAsiaTheme="majorEastAsia"/>
          <w:u w:val="single"/>
        </w:rPr>
        <w:t>Reimbursing Your Friend</w:t>
      </w:r>
      <w:r w:rsidRPr="006734B4">
        <w:t>: If you’re reimbursing your friend for their time or expenses, this is considered a personal arrangement and wouldn’t directly affect your Universal Credit. However, if you received funds to cover this reimbursement, those funds might need to be declared.</w:t>
      </w:r>
    </w:p>
    <w:p w14:paraId="286B3A24" w14:textId="77777777" w:rsidR="00110A0B" w:rsidRPr="006734B4" w:rsidRDefault="00110A0B" w:rsidP="006734B4">
      <w:pPr>
        <w:pStyle w:val="NormalWeb"/>
        <w:numPr>
          <w:ilvl w:val="0"/>
          <w:numId w:val="1"/>
        </w:numPr>
        <w:spacing w:after="0" w:afterAutospacing="0"/>
      </w:pPr>
      <w:r w:rsidRPr="006734B4">
        <w:rPr>
          <w:rStyle w:val="Strong"/>
          <w:rFonts w:eastAsiaTheme="majorEastAsia"/>
        </w:rPr>
        <w:t>How They Calculate It</w:t>
      </w:r>
      <w:r w:rsidRPr="006734B4">
        <w:t>: Universal Credit calculations are based on your net income (after tax and deductions). If the compensation is treated as income, it will be added to your monthly earnings for the assessment period. If it’s disregarded, it won’t affect your payments.</w:t>
      </w:r>
    </w:p>
    <w:p w14:paraId="34A2509E" w14:textId="77777777" w:rsidR="00110A0B" w:rsidRPr="006734B4" w:rsidRDefault="00110A0B" w:rsidP="006734B4">
      <w:pPr>
        <w:pStyle w:val="NormalWeb"/>
        <w:spacing w:after="0" w:afterAutospacing="0"/>
      </w:pPr>
      <w:r w:rsidRPr="006734B4">
        <w:t>To ensure everything is handled correctly, I recommend:</w:t>
      </w:r>
    </w:p>
    <w:p w14:paraId="51FB998F" w14:textId="77777777" w:rsidR="00110A0B" w:rsidRPr="006734B4" w:rsidRDefault="00110A0B" w:rsidP="006734B4">
      <w:pPr>
        <w:pStyle w:val="NormalWeb"/>
        <w:numPr>
          <w:ilvl w:val="0"/>
          <w:numId w:val="2"/>
        </w:numPr>
        <w:spacing w:after="0" w:afterAutospacing="0"/>
      </w:pPr>
      <w:r w:rsidRPr="006734B4">
        <w:t>Keeping detailed records of all expenses and compensation.</w:t>
      </w:r>
    </w:p>
    <w:p w14:paraId="3C3EECD3" w14:textId="77777777" w:rsidR="00110A0B" w:rsidRPr="006734B4" w:rsidRDefault="00110A0B" w:rsidP="006734B4">
      <w:pPr>
        <w:pStyle w:val="NormalWeb"/>
        <w:numPr>
          <w:ilvl w:val="0"/>
          <w:numId w:val="2"/>
        </w:numPr>
        <w:spacing w:after="0" w:afterAutospacing="0"/>
      </w:pPr>
      <w:r w:rsidRPr="006734B4">
        <w:t>Clearly documenting the purpose of the compensation (e.g., reimbursement vs. income).</w:t>
      </w:r>
    </w:p>
    <w:p w14:paraId="55102761" w14:textId="77777777" w:rsidR="00110A0B" w:rsidRPr="006734B4" w:rsidRDefault="00110A0B" w:rsidP="006734B4">
      <w:pPr>
        <w:pStyle w:val="NormalWeb"/>
        <w:numPr>
          <w:ilvl w:val="0"/>
          <w:numId w:val="2"/>
        </w:numPr>
        <w:spacing w:after="0" w:afterAutospacing="0"/>
      </w:pPr>
      <w:r w:rsidRPr="006734B4">
        <w:t>Contacting the Department for Work and Pensions (DWP) for specific advice tailored to your situation. You can also refer to the Universal Credit guidance for more details.</w:t>
      </w:r>
    </w:p>
    <w:p w14:paraId="3B6B7559" w14:textId="63D25599" w:rsidR="00296948" w:rsidRPr="006734B4" w:rsidRDefault="00110A0B" w:rsidP="006734B4">
      <w:pPr>
        <w:pStyle w:val="NormalWeb"/>
        <w:spacing w:after="0" w:afterAutospacing="0"/>
      </w:pPr>
      <w:r w:rsidRPr="006734B4">
        <w:t>Let me know if you'd like help drafting a letter or organizing your documentation!</w:t>
      </w:r>
    </w:p>
    <w:p w14:paraId="203FC218" w14:textId="77777777" w:rsidR="00296948" w:rsidRPr="006734B4" w:rsidRDefault="00296948" w:rsidP="006734B4">
      <w:pPr>
        <w:pStyle w:val="NormalWeb"/>
        <w:pBdr>
          <w:bottom w:val="single" w:sz="6" w:space="1" w:color="auto"/>
        </w:pBdr>
        <w:spacing w:after="0" w:afterAutospacing="0"/>
      </w:pPr>
    </w:p>
    <w:p w14:paraId="74D68EE3" w14:textId="707341AD" w:rsidR="00296948" w:rsidRPr="006734B4" w:rsidRDefault="00296948" w:rsidP="006734B4">
      <w:pPr>
        <w:pStyle w:val="NormalWeb"/>
        <w:spacing w:after="0" w:afterAutospacing="0"/>
        <w:rPr>
          <w:b/>
          <w:bCs/>
          <w:u w:val="single"/>
        </w:rPr>
      </w:pPr>
      <w:r w:rsidRPr="006734B4">
        <w:rPr>
          <w:b/>
          <w:bCs/>
          <w:u w:val="single"/>
        </w:rPr>
        <w:t>Q</w:t>
      </w:r>
    </w:p>
    <w:p w14:paraId="507C2826" w14:textId="572FE789" w:rsidR="00296948" w:rsidRPr="006734B4" w:rsidRDefault="00296948" w:rsidP="006734B4">
      <w:pPr>
        <w:pStyle w:val="NormalWeb"/>
        <w:spacing w:after="0" w:afterAutospacing="0"/>
      </w:pPr>
      <w:r w:rsidRPr="006734B4">
        <w:t>what’s</w:t>
      </w:r>
      <w:r w:rsidRPr="006734B4">
        <w:t xml:space="preserve"> the taxing </w:t>
      </w:r>
      <w:r w:rsidRPr="006734B4">
        <w:t>brackets</w:t>
      </w:r>
      <w:r w:rsidRPr="006734B4">
        <w:t xml:space="preserve"> for it</w:t>
      </w:r>
    </w:p>
    <w:p w14:paraId="6408F84D" w14:textId="2C73B72C" w:rsidR="00296948" w:rsidRPr="006734B4" w:rsidRDefault="00296948" w:rsidP="006734B4">
      <w:pPr>
        <w:pStyle w:val="NormalWeb"/>
        <w:spacing w:after="0" w:afterAutospacing="0"/>
        <w:rPr>
          <w:b/>
          <w:bCs/>
          <w:u w:val="single"/>
        </w:rPr>
      </w:pPr>
      <w:r w:rsidRPr="006734B4">
        <w:rPr>
          <w:b/>
          <w:bCs/>
          <w:u w:val="single"/>
        </w:rPr>
        <w:t>A</w:t>
      </w:r>
    </w:p>
    <w:p w14:paraId="0C4ED981" w14:textId="77777777" w:rsidR="00296948" w:rsidRPr="006734B4" w:rsidRDefault="00296948" w:rsidP="006734B4">
      <w:pPr>
        <w:pStyle w:val="NormalWeb"/>
        <w:spacing w:after="0" w:afterAutospacing="0"/>
      </w:pPr>
      <w:r w:rsidRPr="006734B4">
        <w:t>In the UK, the current income tax brackets for the 2024/25 tax year are as follows</w:t>
      </w:r>
      <w:r w:rsidRPr="006734B4">
        <w:rPr>
          <w:rStyle w:val="mx-05"/>
          <w:rFonts w:eastAsiaTheme="majorEastAsia"/>
        </w:rPr>
        <w:t>2</w:t>
      </w:r>
      <w:r w:rsidRPr="006734B4">
        <w:t>:</w:t>
      </w:r>
    </w:p>
    <w:p w14:paraId="47FAF145"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Personal Allowance</w:t>
      </w:r>
      <w:r w:rsidRPr="006734B4">
        <w:t>: Up to £12,570 - No income tax.</w:t>
      </w:r>
    </w:p>
    <w:p w14:paraId="0106C1E1"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Basic Rate</w:t>
      </w:r>
      <w:r w:rsidRPr="006734B4">
        <w:t xml:space="preserve">: £12,571 to £50,270 - </w:t>
      </w:r>
      <w:r w:rsidRPr="006734B4">
        <w:rPr>
          <w:color w:val="FF0000"/>
        </w:rPr>
        <w:t>20% tax.</w:t>
      </w:r>
    </w:p>
    <w:p w14:paraId="7B489818"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Higher Rate</w:t>
      </w:r>
      <w:r w:rsidRPr="006734B4">
        <w:t>: £50,271 to £125,140 - 40% tax.</w:t>
      </w:r>
    </w:p>
    <w:p w14:paraId="2AFFDC3D" w14:textId="77777777" w:rsidR="00296948" w:rsidRPr="006734B4" w:rsidRDefault="00296948" w:rsidP="006734B4">
      <w:pPr>
        <w:pStyle w:val="NormalWeb"/>
        <w:numPr>
          <w:ilvl w:val="0"/>
          <w:numId w:val="3"/>
        </w:numPr>
        <w:spacing w:after="0" w:afterAutospacing="0"/>
      </w:pPr>
      <w:r w:rsidRPr="006734B4">
        <w:rPr>
          <w:rStyle w:val="Strong"/>
          <w:rFonts w:eastAsiaTheme="majorEastAsia"/>
        </w:rPr>
        <w:t>Additional Rate</w:t>
      </w:r>
      <w:r w:rsidRPr="006734B4">
        <w:t>: Over £125,140 - 45% tax.</w:t>
      </w:r>
    </w:p>
    <w:p w14:paraId="67E6064D" w14:textId="51706FC0" w:rsidR="00296948" w:rsidRPr="006734B4" w:rsidRDefault="00296948" w:rsidP="006734B4">
      <w:pPr>
        <w:pStyle w:val="NormalWeb"/>
        <w:spacing w:after="0" w:afterAutospacing="0"/>
      </w:pPr>
      <w:r w:rsidRPr="006734B4">
        <w:t>If your compensation is considered taxable income, it will fall into one of these brackets based on your total earnings. However, reimbursements for expenses might not be taxable, depending on how they are classified. Let me know if you'd like help clarifying this further!</w:t>
      </w:r>
    </w:p>
    <w:p w14:paraId="757CFF4C" w14:textId="77777777" w:rsidR="00296948" w:rsidRPr="006734B4" w:rsidRDefault="00296948" w:rsidP="006734B4">
      <w:pPr>
        <w:pStyle w:val="NormalWeb"/>
        <w:pBdr>
          <w:bottom w:val="single" w:sz="6" w:space="1" w:color="auto"/>
        </w:pBdr>
        <w:spacing w:after="0" w:afterAutospacing="0"/>
      </w:pPr>
    </w:p>
    <w:p w14:paraId="57FFC8B5" w14:textId="77777777" w:rsidR="000E3B7F" w:rsidRDefault="000E3B7F" w:rsidP="006734B4">
      <w:pPr>
        <w:spacing w:after="0" w:line="240" w:lineRule="auto"/>
        <w:rPr>
          <w:rFonts w:ascii="Times New Roman" w:eastAsia="Times New Roman" w:hAnsi="Times New Roman" w:cs="Times New Roman"/>
          <w:b/>
          <w:bCs/>
          <w:kern w:val="0"/>
          <w:u w:val="single"/>
          <w14:ligatures w14:val="none"/>
        </w:rPr>
      </w:pPr>
    </w:p>
    <w:p w14:paraId="52D41AAC" w14:textId="31384D71" w:rsidR="00296948" w:rsidRPr="006734B4" w:rsidRDefault="00296948" w:rsidP="006734B4">
      <w:pPr>
        <w:spacing w:after="0" w:line="240" w:lineRule="auto"/>
        <w:rPr>
          <w:rFonts w:ascii="Times New Roman" w:eastAsia="Times New Roman" w:hAnsi="Times New Roman" w:cs="Times New Roman"/>
          <w:b/>
          <w:bCs/>
          <w:kern w:val="0"/>
          <w:u w:val="single"/>
          <w14:ligatures w14:val="none"/>
        </w:rPr>
      </w:pPr>
      <w:r w:rsidRPr="006734B4">
        <w:rPr>
          <w:rFonts w:ascii="Times New Roman" w:eastAsia="Times New Roman" w:hAnsi="Times New Roman" w:cs="Times New Roman"/>
          <w:b/>
          <w:bCs/>
          <w:kern w:val="0"/>
          <w:u w:val="single"/>
          <w14:ligatures w14:val="none"/>
        </w:rPr>
        <w:t>Q</w:t>
      </w:r>
    </w:p>
    <w:p w14:paraId="07FD233F" w14:textId="04554B21" w:rsidR="00296948" w:rsidRPr="00296948" w:rsidRDefault="00296948" w:rsidP="006734B4">
      <w:pPr>
        <w:spacing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so,</w:t>
      </w:r>
      <w:r w:rsidRPr="00296948">
        <w:rPr>
          <w:rFonts w:ascii="Times New Roman" w:eastAsia="Times New Roman" w:hAnsi="Times New Roman" w:cs="Times New Roman"/>
          <w:kern w:val="0"/>
          <w14:ligatures w14:val="none"/>
        </w:rPr>
        <w:t xml:space="preserve"> if </w:t>
      </w:r>
      <w:r w:rsidRPr="006734B4">
        <w:rPr>
          <w:rFonts w:ascii="Times New Roman" w:eastAsia="Times New Roman" w:hAnsi="Times New Roman" w:cs="Times New Roman"/>
          <w:kern w:val="0"/>
          <w14:ligatures w14:val="none"/>
        </w:rPr>
        <w:t>it’s</w:t>
      </w:r>
      <w:r w:rsidRPr="00296948">
        <w:rPr>
          <w:rFonts w:ascii="Times New Roman" w:eastAsia="Times New Roman" w:hAnsi="Times New Roman" w:cs="Times New Roman"/>
          <w:kern w:val="0"/>
          <w14:ligatures w14:val="none"/>
        </w:rPr>
        <w:t xml:space="preserve"> below this it </w:t>
      </w:r>
      <w:r w:rsidRPr="006734B4">
        <w:rPr>
          <w:rFonts w:ascii="Times New Roman" w:eastAsia="Times New Roman" w:hAnsi="Times New Roman" w:cs="Times New Roman"/>
          <w:kern w:val="0"/>
          <w14:ligatures w14:val="none"/>
        </w:rPr>
        <w:t>won’t</w:t>
      </w:r>
      <w:r w:rsidRPr="00296948">
        <w:rPr>
          <w:rFonts w:ascii="Times New Roman" w:eastAsia="Times New Roman" w:hAnsi="Times New Roman" w:cs="Times New Roman"/>
          <w:kern w:val="0"/>
          <w14:ligatures w14:val="none"/>
        </w:rPr>
        <w:t xml:space="preserve"> </w:t>
      </w:r>
      <w:r w:rsidRPr="006734B4">
        <w:rPr>
          <w:rFonts w:ascii="Times New Roman" w:eastAsia="Times New Roman" w:hAnsi="Times New Roman" w:cs="Times New Roman"/>
          <w:kern w:val="0"/>
          <w14:ligatures w14:val="none"/>
        </w:rPr>
        <w:t>affect</w:t>
      </w:r>
      <w:r w:rsidRPr="00296948">
        <w:rPr>
          <w:rFonts w:ascii="Times New Roman" w:eastAsia="Times New Roman" w:hAnsi="Times New Roman" w:cs="Times New Roman"/>
          <w:kern w:val="0"/>
          <w14:ligatures w14:val="none"/>
        </w:rPr>
        <w:t xml:space="preserve"> my </w:t>
      </w:r>
      <w:r w:rsidRPr="006734B4">
        <w:rPr>
          <w:rFonts w:ascii="Times New Roman" w:eastAsia="Times New Roman" w:hAnsi="Times New Roman" w:cs="Times New Roman"/>
          <w:kern w:val="0"/>
          <w14:ligatures w14:val="none"/>
        </w:rPr>
        <w:t>benefits</w:t>
      </w:r>
      <w:r w:rsidRPr="00296948">
        <w:rPr>
          <w:rFonts w:ascii="Times New Roman" w:eastAsia="Times New Roman" w:hAnsi="Times New Roman" w:cs="Times New Roman"/>
          <w:kern w:val="0"/>
          <w14:ligatures w14:val="none"/>
        </w:rPr>
        <w:t>: Personal Allowance: Up to £12,570</w:t>
      </w:r>
    </w:p>
    <w:p w14:paraId="6BC03086" w14:textId="47126F9A" w:rsidR="00296948" w:rsidRPr="006734B4" w:rsidRDefault="00296948" w:rsidP="006734B4">
      <w:pPr>
        <w:spacing w:before="100" w:beforeAutospacing="1" w:after="0" w:line="240" w:lineRule="auto"/>
        <w:rPr>
          <w:rFonts w:ascii="Times New Roman" w:eastAsia="Times New Roman" w:hAnsi="Times New Roman" w:cs="Times New Roman"/>
          <w:b/>
          <w:bCs/>
          <w:kern w:val="0"/>
          <w:u w:val="single"/>
          <w14:ligatures w14:val="none"/>
        </w:rPr>
      </w:pPr>
      <w:r w:rsidRPr="006734B4">
        <w:rPr>
          <w:rFonts w:ascii="Times New Roman" w:eastAsia="Times New Roman" w:hAnsi="Times New Roman" w:cs="Times New Roman"/>
          <w:b/>
          <w:bCs/>
          <w:kern w:val="0"/>
          <w:u w:val="single"/>
          <w14:ligatures w14:val="none"/>
        </w:rPr>
        <w:t>A</w:t>
      </w:r>
    </w:p>
    <w:p w14:paraId="6CB9D3B0" w14:textId="77777777"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You're correct that income falling within the </w:t>
      </w:r>
      <w:r w:rsidRPr="006734B4">
        <w:rPr>
          <w:rFonts w:ascii="Times New Roman" w:eastAsia="Times New Roman" w:hAnsi="Times New Roman" w:cs="Times New Roman"/>
          <w:b/>
          <w:bCs/>
          <w:kern w:val="0"/>
          <w14:ligatures w14:val="none"/>
        </w:rPr>
        <w:t>Personal Allowance</w:t>
      </w:r>
      <w:r w:rsidRPr="006734B4">
        <w:rPr>
          <w:rFonts w:ascii="Times New Roman" w:eastAsia="Times New Roman" w:hAnsi="Times New Roman" w:cs="Times New Roman"/>
          <w:kern w:val="0"/>
          <w14:ligatures w14:val="none"/>
        </w:rPr>
        <w:t xml:space="preserve"> threshold of up to £12,570 (for the 2024/25 tax year) would generally not be subject to income tax. </w:t>
      </w:r>
    </w:p>
    <w:p w14:paraId="0F364C80" w14:textId="31217CB4"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However, for </w:t>
      </w:r>
      <w:r w:rsidRPr="006734B4">
        <w:rPr>
          <w:rFonts w:ascii="Times New Roman" w:eastAsia="Times New Roman" w:hAnsi="Times New Roman" w:cs="Times New Roman"/>
          <w:b/>
          <w:bCs/>
          <w:kern w:val="0"/>
          <w14:ligatures w14:val="none"/>
        </w:rPr>
        <w:t>Universal Credit</w:t>
      </w:r>
      <w:r w:rsidRPr="006734B4">
        <w:rPr>
          <w:rFonts w:ascii="Times New Roman" w:eastAsia="Times New Roman" w:hAnsi="Times New Roman" w:cs="Times New Roman"/>
          <w:kern w:val="0"/>
          <w14:ligatures w14:val="none"/>
        </w:rPr>
        <w:t xml:space="preserve"> purposes, all income—taxed or untaxed—needs to be reported. </w:t>
      </w:r>
    </w:p>
    <w:p w14:paraId="30E612A1" w14:textId="610070D3"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Whether or not it affects your Universal Credit payments depends on how the income is categorized by the </w:t>
      </w:r>
      <w:r w:rsidRPr="006734B4">
        <w:rPr>
          <w:rFonts w:ascii="Times New Roman" w:eastAsia="Times New Roman" w:hAnsi="Times New Roman" w:cs="Times New Roman"/>
          <w:b/>
          <w:bCs/>
          <w:kern w:val="0"/>
          <w14:ligatures w14:val="none"/>
        </w:rPr>
        <w:t>Department for Work and Pensions (DWP)</w:t>
      </w:r>
      <w:r w:rsidRPr="006734B4">
        <w:rPr>
          <w:rFonts w:ascii="Times New Roman" w:eastAsia="Times New Roman" w:hAnsi="Times New Roman" w:cs="Times New Roman"/>
          <w:kern w:val="0"/>
          <w14:ligatures w14:val="none"/>
        </w:rPr>
        <w:t>.</w:t>
      </w:r>
    </w:p>
    <w:p w14:paraId="22DC9BE4" w14:textId="77777777" w:rsidR="00D46999" w:rsidRPr="006734B4" w:rsidRDefault="00D46999" w:rsidP="006734B4">
      <w:pPr>
        <w:pStyle w:val="ListParagraph"/>
        <w:spacing w:before="100" w:beforeAutospacing="1" w:after="0" w:line="240" w:lineRule="auto"/>
        <w:rPr>
          <w:rFonts w:ascii="Times New Roman" w:eastAsia="Times New Roman" w:hAnsi="Times New Roman" w:cs="Times New Roman"/>
          <w:kern w:val="0"/>
          <w14:ligatures w14:val="none"/>
        </w:rPr>
      </w:pPr>
    </w:p>
    <w:p w14:paraId="368D3DC9" w14:textId="48CFBAA6" w:rsidR="00FB70A9" w:rsidRPr="006734B4" w:rsidRDefault="00296948" w:rsidP="006734B4">
      <w:pPr>
        <w:pStyle w:val="ListParagraph"/>
        <w:numPr>
          <w:ilvl w:val="0"/>
          <w:numId w:val="5"/>
        </w:numPr>
        <w:spacing w:before="100" w:beforeAutospacing="1" w:after="0" w:line="240" w:lineRule="auto"/>
        <w:rPr>
          <w:rFonts w:ascii="Times New Roman" w:eastAsia="Times New Roman" w:hAnsi="Times New Roman" w:cs="Times New Roman"/>
          <w:kern w:val="0"/>
          <w14:ligatures w14:val="none"/>
        </w:rPr>
      </w:pPr>
      <w:r w:rsidRPr="006734B4">
        <w:rPr>
          <w:rFonts w:ascii="Times New Roman" w:eastAsia="Times New Roman" w:hAnsi="Times New Roman" w:cs="Times New Roman"/>
          <w:kern w:val="0"/>
          <w14:ligatures w14:val="none"/>
        </w:rPr>
        <w:t xml:space="preserve">If the compensation you're receiving is treated as </w:t>
      </w:r>
      <w:r w:rsidRPr="006734B4">
        <w:rPr>
          <w:rFonts w:ascii="Times New Roman" w:eastAsia="Times New Roman" w:hAnsi="Times New Roman" w:cs="Times New Roman"/>
          <w:b/>
          <w:bCs/>
          <w:kern w:val="0"/>
          <w14:ligatures w14:val="none"/>
        </w:rPr>
        <w:t>reimbursement for expenses</w:t>
      </w:r>
      <w:r w:rsidRPr="006734B4">
        <w:rPr>
          <w:rFonts w:ascii="Times New Roman" w:eastAsia="Times New Roman" w:hAnsi="Times New Roman" w:cs="Times New Roman"/>
          <w:kern w:val="0"/>
          <w14:ligatures w14:val="none"/>
        </w:rPr>
        <w:t xml:space="preserve"> or specific costs (like train tickets, food, etc.), it might not count as income for Universal Credit purposes. </w:t>
      </w:r>
    </w:p>
    <w:p w14:paraId="7DE877E1" w14:textId="2A19B04D"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 xml:space="preserve">On the other hand, if it's deemed </w:t>
      </w:r>
      <w:r w:rsidRPr="00296948">
        <w:rPr>
          <w:rFonts w:ascii="Times New Roman" w:eastAsia="Times New Roman" w:hAnsi="Times New Roman" w:cs="Times New Roman"/>
          <w:b/>
          <w:bCs/>
          <w:color w:val="FF0000"/>
          <w:kern w:val="0"/>
          <w:u w:val="single"/>
          <w14:ligatures w14:val="none"/>
        </w:rPr>
        <w:t>general income,</w:t>
      </w:r>
      <w:r w:rsidRPr="00296948">
        <w:rPr>
          <w:rFonts w:ascii="Times New Roman" w:eastAsia="Times New Roman" w:hAnsi="Times New Roman" w:cs="Times New Roman"/>
          <w:color w:val="FF0000"/>
          <w:kern w:val="0"/>
          <w14:ligatures w14:val="none"/>
        </w:rPr>
        <w:t xml:space="preserve"> </w:t>
      </w:r>
      <w:r w:rsidRPr="00296948">
        <w:rPr>
          <w:rFonts w:ascii="Times New Roman" w:eastAsia="Times New Roman" w:hAnsi="Times New Roman" w:cs="Times New Roman"/>
          <w:kern w:val="0"/>
          <w14:ligatures w14:val="none"/>
        </w:rPr>
        <w:t>even if it's under the personal allowance, it could still be taken into account when calculating your benefits.</w:t>
      </w:r>
    </w:p>
    <w:p w14:paraId="5A4BE4A1" w14:textId="77777777"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To ensure everything is handled properly, consider:</w:t>
      </w:r>
    </w:p>
    <w:p w14:paraId="2C8ED1ED" w14:textId="77777777" w:rsidR="00296948" w:rsidRPr="00296948" w:rsidRDefault="00296948" w:rsidP="006734B4">
      <w:pPr>
        <w:numPr>
          <w:ilvl w:val="0"/>
          <w:numId w:val="4"/>
        </w:num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Documenting Your Case</w:t>
      </w:r>
      <w:r w:rsidRPr="00296948">
        <w:rPr>
          <w:rFonts w:ascii="Times New Roman" w:eastAsia="Times New Roman" w:hAnsi="Times New Roman" w:cs="Times New Roman"/>
          <w:kern w:val="0"/>
          <w14:ligatures w14:val="none"/>
        </w:rPr>
        <w:t>: Keep detailed records showing that the compensation is reimbursement for costs you incurred.</w:t>
      </w:r>
    </w:p>
    <w:p w14:paraId="7E1837FA" w14:textId="77777777" w:rsidR="00296948" w:rsidRPr="00296948" w:rsidRDefault="00296948" w:rsidP="006734B4">
      <w:pPr>
        <w:numPr>
          <w:ilvl w:val="0"/>
          <w:numId w:val="4"/>
        </w:num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b/>
          <w:bCs/>
          <w:kern w:val="0"/>
          <w14:ligatures w14:val="none"/>
        </w:rPr>
        <w:t>Contacting DWP</w:t>
      </w:r>
      <w:r w:rsidRPr="00296948">
        <w:rPr>
          <w:rFonts w:ascii="Times New Roman" w:eastAsia="Times New Roman" w:hAnsi="Times New Roman" w:cs="Times New Roman"/>
          <w:kern w:val="0"/>
          <w14:ligatures w14:val="none"/>
        </w:rPr>
        <w:t>: They can confirm whether this specific compensation would affect your Universal Credit payments.</w:t>
      </w:r>
    </w:p>
    <w:p w14:paraId="02286B95" w14:textId="77777777" w:rsidR="00296948" w:rsidRPr="00296948" w:rsidRDefault="00296948" w:rsidP="006734B4">
      <w:pPr>
        <w:spacing w:before="100" w:beforeAutospacing="1" w:after="0" w:line="240" w:lineRule="auto"/>
        <w:rPr>
          <w:rFonts w:ascii="Times New Roman" w:eastAsia="Times New Roman" w:hAnsi="Times New Roman" w:cs="Times New Roman"/>
          <w:kern w:val="0"/>
          <w14:ligatures w14:val="none"/>
        </w:rPr>
      </w:pPr>
      <w:r w:rsidRPr="00296948">
        <w:rPr>
          <w:rFonts w:ascii="Times New Roman" w:eastAsia="Times New Roman" w:hAnsi="Times New Roman" w:cs="Times New Roman"/>
          <w:kern w:val="0"/>
          <w14:ligatures w14:val="none"/>
        </w:rPr>
        <w:t>If you'd like, I can help you prepare questions or organize your documents for a clearer discussion with DWP!</w:t>
      </w:r>
    </w:p>
    <w:p w14:paraId="04DA9AC7" w14:textId="77777777" w:rsidR="00296948" w:rsidRPr="006734B4" w:rsidRDefault="00296948" w:rsidP="006734B4">
      <w:pPr>
        <w:pStyle w:val="NormalWeb"/>
        <w:pBdr>
          <w:bottom w:val="single" w:sz="6" w:space="1" w:color="auto"/>
        </w:pBdr>
        <w:spacing w:after="0" w:afterAutospacing="0"/>
      </w:pPr>
    </w:p>
    <w:p w14:paraId="76123607" w14:textId="77777777" w:rsidR="00635426" w:rsidRPr="006734B4" w:rsidRDefault="00635426" w:rsidP="006734B4">
      <w:pPr>
        <w:pStyle w:val="NormalWeb"/>
        <w:spacing w:after="0" w:afterAutospacing="0"/>
      </w:pPr>
      <w:r w:rsidRPr="006734B4">
        <w:t xml:space="preserve">If you have three separate compensation claims, each staying below the </w:t>
      </w:r>
      <w:r w:rsidRPr="006734B4">
        <w:rPr>
          <w:rStyle w:val="Strong"/>
          <w:rFonts w:eastAsiaTheme="majorEastAsia"/>
        </w:rPr>
        <w:t>Personal Allowance</w:t>
      </w:r>
      <w:r w:rsidRPr="006734B4">
        <w:t xml:space="preserve"> threshold of £12,570, they would likely be treated as separate income streams for taxation. However, </w:t>
      </w:r>
      <w:r w:rsidRPr="006734B4">
        <w:rPr>
          <w:rStyle w:val="Strong"/>
          <w:rFonts w:eastAsiaTheme="majorEastAsia"/>
        </w:rPr>
        <w:t>for Universal Credit purposes</w:t>
      </w:r>
      <w:r w:rsidRPr="006734B4">
        <w:t>, the Department for Work and Pensions (DWP) may combine all your income within a single assessment period to calculate the impact on your benefits. This means that even if each claim is individually below the threshold, the total amount received might still affect your benefits if added together.</w:t>
      </w:r>
    </w:p>
    <w:p w14:paraId="33AF9A30" w14:textId="77777777" w:rsidR="00635426" w:rsidRPr="006734B4" w:rsidRDefault="00635426" w:rsidP="006734B4">
      <w:pPr>
        <w:pStyle w:val="NormalWeb"/>
        <w:spacing w:after="0" w:afterAutospacing="0"/>
      </w:pPr>
      <w:r w:rsidRPr="006734B4">
        <w:t>To ensure this is handled correctly:</w:t>
      </w:r>
    </w:p>
    <w:p w14:paraId="72BAEFC9" w14:textId="77777777" w:rsidR="00635426" w:rsidRPr="006734B4" w:rsidRDefault="00635426" w:rsidP="006734B4">
      <w:pPr>
        <w:pStyle w:val="NormalWeb"/>
        <w:numPr>
          <w:ilvl w:val="0"/>
          <w:numId w:val="6"/>
        </w:numPr>
        <w:spacing w:after="0" w:afterAutospacing="0"/>
      </w:pPr>
      <w:r w:rsidRPr="006734B4">
        <w:t>Keep detailed records for each claim, including the purpose and receipts to show reimbursement rather than income.</w:t>
      </w:r>
    </w:p>
    <w:p w14:paraId="088DF5BF" w14:textId="77777777" w:rsidR="00635426" w:rsidRPr="006734B4" w:rsidRDefault="00635426" w:rsidP="006734B4">
      <w:pPr>
        <w:pStyle w:val="NormalWeb"/>
        <w:numPr>
          <w:ilvl w:val="0"/>
          <w:numId w:val="6"/>
        </w:numPr>
        <w:spacing w:after="0" w:afterAutospacing="0"/>
      </w:pPr>
      <w:r w:rsidRPr="006734B4">
        <w:t>Notify the DWP about each claim and specify that they are reimbursements or specific compensations.</w:t>
      </w:r>
    </w:p>
    <w:p w14:paraId="49196073" w14:textId="77777777" w:rsidR="00635426" w:rsidRPr="006734B4" w:rsidRDefault="00635426" w:rsidP="006734B4">
      <w:pPr>
        <w:pStyle w:val="NormalWeb"/>
        <w:spacing w:after="0" w:afterAutospacing="0"/>
      </w:pPr>
      <w:r w:rsidRPr="006734B4">
        <w:t>Would you like support with organizing your documents or drafting correspondence to clarify this with the DWP?</w:t>
      </w:r>
    </w:p>
    <w:p w14:paraId="01754777" w14:textId="77777777" w:rsidR="00635426" w:rsidRPr="006734B4" w:rsidRDefault="00635426" w:rsidP="006734B4">
      <w:pPr>
        <w:pStyle w:val="NormalWeb"/>
        <w:pBdr>
          <w:bottom w:val="single" w:sz="6" w:space="1" w:color="auto"/>
        </w:pBdr>
        <w:spacing w:after="0" w:afterAutospacing="0"/>
      </w:pPr>
    </w:p>
    <w:p w14:paraId="0EB31926" w14:textId="77777777" w:rsidR="0070448F" w:rsidRPr="006734B4" w:rsidRDefault="0070448F" w:rsidP="006734B4">
      <w:pPr>
        <w:pStyle w:val="NormalWeb"/>
        <w:spacing w:after="0" w:afterAutospacing="0"/>
      </w:pPr>
      <w:r w:rsidRPr="006734B4">
        <w:t>Ah, I see where you're coming from. Let me clarify this for you:</w:t>
      </w:r>
    </w:p>
    <w:p w14:paraId="2F699229" w14:textId="40657129" w:rsidR="00635426" w:rsidRPr="006734B4" w:rsidRDefault="00635426" w:rsidP="006734B4">
      <w:pPr>
        <w:pStyle w:val="NormalWeb"/>
        <w:spacing w:after="0" w:afterAutospacing="0"/>
      </w:pPr>
      <w:r w:rsidRPr="006734B4">
        <w:t xml:space="preserve">If you have </w:t>
      </w:r>
      <w:r w:rsidRPr="006734B4">
        <w:rPr>
          <w:rStyle w:val="Strong"/>
          <w:rFonts w:eastAsiaTheme="majorEastAsia"/>
        </w:rPr>
        <w:t>three separate compensation claims</w:t>
      </w:r>
      <w:r w:rsidRPr="006734B4">
        <w:t xml:space="preserve">, even if each one stays below the </w:t>
      </w:r>
      <w:r w:rsidRPr="006734B4">
        <w:rPr>
          <w:rStyle w:val="Strong"/>
          <w:rFonts w:eastAsiaTheme="majorEastAsia"/>
        </w:rPr>
        <w:t>Personal Allowance</w:t>
      </w:r>
      <w:r w:rsidRPr="006734B4">
        <w:t xml:space="preserve"> (£12,570), they may still be evaluated together for </w:t>
      </w:r>
      <w:r w:rsidRPr="006734B4">
        <w:rPr>
          <w:rStyle w:val="Strong"/>
          <w:rFonts w:eastAsiaTheme="majorEastAsia"/>
        </w:rPr>
        <w:t>Universal Credit purposes</w:t>
      </w:r>
      <w:r w:rsidRPr="006734B4">
        <w:t xml:space="preserve"> if they are received within the same </w:t>
      </w:r>
      <w:r w:rsidRPr="006734B4">
        <w:rPr>
          <w:rStyle w:val="Strong"/>
          <w:rFonts w:eastAsiaTheme="majorEastAsia"/>
        </w:rPr>
        <w:t>assessment period</w:t>
      </w:r>
      <w:r w:rsidRPr="006734B4">
        <w:t xml:space="preserve">. For </w:t>
      </w:r>
      <w:r w:rsidRPr="006734B4">
        <w:rPr>
          <w:rStyle w:val="Strong"/>
          <w:rFonts w:eastAsiaTheme="majorEastAsia"/>
        </w:rPr>
        <w:t>taxation purposes</w:t>
      </w:r>
      <w:r w:rsidRPr="006734B4">
        <w:t>, they would generally be treated as separate income streams, and if none of them individually crosses the threshold, you wouldn't be taxed on them.</w:t>
      </w:r>
    </w:p>
    <w:p w14:paraId="0018F1E2" w14:textId="77777777" w:rsidR="00635426" w:rsidRPr="006734B4" w:rsidRDefault="00635426" w:rsidP="006734B4">
      <w:pPr>
        <w:pStyle w:val="NormalWeb"/>
        <w:spacing w:after="0" w:afterAutospacing="0"/>
      </w:pPr>
      <w:r w:rsidRPr="006734B4">
        <w:t xml:space="preserve">However, for </w:t>
      </w:r>
      <w:r w:rsidRPr="006734B4">
        <w:rPr>
          <w:rStyle w:val="Strong"/>
          <w:rFonts w:eastAsiaTheme="majorEastAsia"/>
        </w:rPr>
        <w:t>Universal Credit</w:t>
      </w:r>
      <w:r w:rsidRPr="006734B4">
        <w:t>, all income you receive during a single assessment period could be added up and considered as one lump sum. If the combined total goes above the Personal Allowance threshold or affects the income taper rate, it might influence your benefits.</w:t>
      </w:r>
    </w:p>
    <w:p w14:paraId="58042D69" w14:textId="77777777" w:rsidR="00635426" w:rsidRPr="006734B4" w:rsidRDefault="00635426" w:rsidP="006734B4">
      <w:pPr>
        <w:pStyle w:val="NormalWeb"/>
        <w:spacing w:after="0" w:afterAutospacing="0"/>
      </w:pPr>
      <w:r w:rsidRPr="006734B4">
        <w:t>Let me know if you'd like me to further clarify or help with anything else!</w:t>
      </w:r>
    </w:p>
    <w:p w14:paraId="32144B3D" w14:textId="77777777" w:rsidR="00635426" w:rsidRPr="006734B4" w:rsidRDefault="00635426" w:rsidP="006734B4">
      <w:pPr>
        <w:pStyle w:val="NormalWeb"/>
        <w:pBdr>
          <w:bottom w:val="single" w:sz="6" w:space="1" w:color="auto"/>
        </w:pBdr>
        <w:spacing w:after="0" w:afterAutospacing="0"/>
      </w:pPr>
    </w:p>
    <w:p w14:paraId="276E28B4" w14:textId="77777777" w:rsidR="0070448F" w:rsidRPr="006734B4" w:rsidRDefault="0070448F" w:rsidP="006734B4">
      <w:pPr>
        <w:pStyle w:val="NormalWeb"/>
        <w:spacing w:after="0" w:afterAutospacing="0"/>
      </w:pPr>
      <w:r w:rsidRPr="006734B4">
        <w:t>Let me break this down for you:</w:t>
      </w:r>
    </w:p>
    <w:p w14:paraId="481C3F6E" w14:textId="77777777" w:rsidR="0070448F" w:rsidRPr="006734B4" w:rsidRDefault="0070448F" w:rsidP="006734B4">
      <w:pPr>
        <w:pStyle w:val="NormalWeb"/>
        <w:numPr>
          <w:ilvl w:val="0"/>
          <w:numId w:val="7"/>
        </w:numPr>
        <w:spacing w:after="0" w:afterAutospacing="0"/>
        <w:rPr>
          <w:color w:val="FF0000"/>
        </w:rPr>
      </w:pPr>
      <w:r w:rsidRPr="006734B4">
        <w:rPr>
          <w:rStyle w:val="Strong"/>
          <w:rFonts w:eastAsiaTheme="majorEastAsia"/>
        </w:rPr>
        <w:t>Universal Credit and Tax</w:t>
      </w:r>
      <w:r w:rsidRPr="006734B4">
        <w:t xml:space="preserve">: Your benefits, such as Universal Credit, are not taxed directly. However, any income you receive (including compensation) could affect the </w:t>
      </w:r>
      <w:r w:rsidRPr="006734B4">
        <w:rPr>
          <w:rStyle w:val="Strong"/>
          <w:rFonts w:eastAsiaTheme="majorEastAsia"/>
        </w:rPr>
        <w:t>amount</w:t>
      </w:r>
      <w:r w:rsidRPr="006734B4">
        <w:t xml:space="preserve"> of your benefits. The Department for Work and Pensions (DWP) uses your </w:t>
      </w:r>
      <w:r w:rsidRPr="006734B4">
        <w:rPr>
          <w:rStyle w:val="Strong"/>
          <w:rFonts w:eastAsiaTheme="majorEastAsia"/>
        </w:rPr>
        <w:t>net income</w:t>
      </w:r>
      <w:r w:rsidRPr="006734B4">
        <w:t xml:space="preserve"> (after tax) to calculate your Universal Credit, so taxed compensation might reduce your benefit amount through the taper rate (</w:t>
      </w:r>
      <w:r w:rsidRPr="006734B4">
        <w:rPr>
          <w:color w:val="FF0000"/>
        </w:rPr>
        <w:t>55p reduction per £1 of income above your work allowance, if applicable).</w:t>
      </w:r>
    </w:p>
    <w:p w14:paraId="7EBA4815" w14:textId="77777777" w:rsidR="0070448F" w:rsidRPr="006734B4" w:rsidRDefault="0070448F" w:rsidP="006734B4">
      <w:pPr>
        <w:pStyle w:val="NormalWeb"/>
        <w:numPr>
          <w:ilvl w:val="0"/>
          <w:numId w:val="7"/>
        </w:numPr>
        <w:spacing w:after="0" w:afterAutospacing="0"/>
      </w:pPr>
      <w:r w:rsidRPr="006734B4">
        <w:rPr>
          <w:rStyle w:val="Strong"/>
          <w:rFonts w:eastAsiaTheme="majorEastAsia"/>
        </w:rPr>
        <w:t>Tax on Compensation</w:t>
      </w:r>
      <w:r w:rsidRPr="006734B4">
        <w:t xml:space="preserve">: Compensation is only taxed if it’s considered </w:t>
      </w:r>
      <w:r w:rsidRPr="006734B4">
        <w:rPr>
          <w:rStyle w:val="Strong"/>
          <w:rFonts w:eastAsiaTheme="majorEastAsia"/>
        </w:rPr>
        <w:t>income</w:t>
      </w:r>
      <w:r w:rsidRPr="006734B4">
        <w:t xml:space="preserve">. Reimbursements for expenses (like train tickets or food) are typically not taxed, but </w:t>
      </w:r>
      <w:r w:rsidRPr="006734B4">
        <w:rPr>
          <w:color w:val="FF0000"/>
        </w:rPr>
        <w:t xml:space="preserve">payments for financial losses </w:t>
      </w:r>
      <w:r w:rsidRPr="006734B4">
        <w:t xml:space="preserve">or other </w:t>
      </w:r>
      <w:r w:rsidRPr="006734B4">
        <w:rPr>
          <w:color w:val="FF0000"/>
        </w:rPr>
        <w:t>compensations</w:t>
      </w:r>
      <w:r w:rsidRPr="006734B4">
        <w:t xml:space="preserve"> might be.</w:t>
      </w:r>
    </w:p>
    <w:p w14:paraId="4B6C47C3" w14:textId="77777777" w:rsidR="0070448F" w:rsidRPr="006734B4" w:rsidRDefault="0070448F" w:rsidP="006734B4">
      <w:pPr>
        <w:pStyle w:val="NormalWeb"/>
        <w:numPr>
          <w:ilvl w:val="0"/>
          <w:numId w:val="7"/>
        </w:numPr>
        <w:spacing w:after="0" w:afterAutospacing="0"/>
      </w:pPr>
      <w:r w:rsidRPr="006734B4">
        <w:rPr>
          <w:rStyle w:val="Strong"/>
          <w:rFonts w:eastAsiaTheme="majorEastAsia"/>
        </w:rPr>
        <w:t>Interaction Between Tax and Benefits</w:t>
      </w:r>
      <w:r w:rsidRPr="006734B4">
        <w:t xml:space="preserve">: If your compensation is </w:t>
      </w:r>
      <w:r w:rsidRPr="006734B4">
        <w:rPr>
          <w:color w:val="FF0000"/>
        </w:rPr>
        <w:t xml:space="preserve">taxable income </w:t>
      </w:r>
      <w:r w:rsidRPr="006734B4">
        <w:t>and gets taxed first, the remaining net amount will still be considered by the DWP for your benefit calculations. This means:</w:t>
      </w:r>
    </w:p>
    <w:p w14:paraId="1409E0AE" w14:textId="77777777" w:rsidR="0070448F" w:rsidRPr="006734B4" w:rsidRDefault="0070448F" w:rsidP="006734B4">
      <w:pPr>
        <w:pStyle w:val="NormalWeb"/>
        <w:numPr>
          <w:ilvl w:val="1"/>
          <w:numId w:val="7"/>
        </w:numPr>
        <w:spacing w:after="0" w:afterAutospacing="0"/>
      </w:pPr>
      <w:r w:rsidRPr="006734B4">
        <w:t>Tax might be deducted from the compensation.</w:t>
      </w:r>
    </w:p>
    <w:p w14:paraId="59FD28B5" w14:textId="77777777" w:rsidR="0070448F" w:rsidRPr="006734B4" w:rsidRDefault="0070448F" w:rsidP="006734B4">
      <w:pPr>
        <w:pStyle w:val="NormalWeb"/>
        <w:numPr>
          <w:ilvl w:val="1"/>
          <w:numId w:val="7"/>
        </w:numPr>
        <w:spacing w:after="0" w:afterAutospacing="0"/>
      </w:pPr>
      <w:r w:rsidRPr="006734B4">
        <w:t>The remaining net amount could still reduce your Universal Credit entitlement if it falls within the same assessment period.</w:t>
      </w:r>
    </w:p>
    <w:p w14:paraId="600F9C1E" w14:textId="77777777" w:rsidR="0070448F" w:rsidRPr="006734B4" w:rsidRDefault="0070448F" w:rsidP="006734B4">
      <w:pPr>
        <w:pStyle w:val="NormalWeb"/>
        <w:spacing w:after="0" w:afterAutospacing="0"/>
      </w:pPr>
      <w:r w:rsidRPr="006734B4">
        <w:t>Essentially, you’re not taxed on your benefits directly, but compensation could be taxed and still impact the benefits calculation. To get the clearest answer, it’s best to contact both HMRC (for tax matters) and DWP (for benefits) to discuss your specific situation.</w:t>
      </w:r>
    </w:p>
    <w:p w14:paraId="51E5081C" w14:textId="77777777" w:rsidR="0070448F" w:rsidRPr="006734B4" w:rsidRDefault="0070448F" w:rsidP="006734B4">
      <w:pPr>
        <w:pStyle w:val="NormalWeb"/>
        <w:spacing w:after="0" w:afterAutospacing="0"/>
      </w:pPr>
      <w:r w:rsidRPr="006734B4">
        <w:t>Would you like help drafting a letter to them or organizing your documentation to clarify this? Let me know!</w:t>
      </w:r>
    </w:p>
    <w:p w14:paraId="60919613" w14:textId="77777777" w:rsidR="0070448F" w:rsidRPr="006734B4" w:rsidRDefault="0070448F" w:rsidP="006734B4">
      <w:pPr>
        <w:pStyle w:val="NormalWeb"/>
        <w:pBdr>
          <w:bottom w:val="single" w:sz="6" w:space="1" w:color="auto"/>
        </w:pBdr>
        <w:spacing w:after="0" w:afterAutospacing="0"/>
      </w:pPr>
    </w:p>
    <w:p w14:paraId="491B0E1F" w14:textId="77777777" w:rsidR="00A66B7B" w:rsidRDefault="00A66B7B" w:rsidP="006734B4">
      <w:pPr>
        <w:pStyle w:val="NormalWeb"/>
        <w:spacing w:before="0" w:beforeAutospacing="0" w:after="0" w:afterAutospacing="0"/>
        <w:rPr>
          <w:u w:val="single"/>
        </w:rPr>
      </w:pPr>
    </w:p>
    <w:p w14:paraId="3533D8FD" w14:textId="1DD9D708" w:rsidR="007C03E8" w:rsidRPr="006734B4" w:rsidRDefault="002B5E25" w:rsidP="006734B4">
      <w:pPr>
        <w:pStyle w:val="NormalWeb"/>
        <w:spacing w:before="0" w:beforeAutospacing="0" w:after="0" w:afterAutospacing="0"/>
        <w:rPr>
          <w:u w:val="single"/>
        </w:rPr>
      </w:pPr>
      <w:r w:rsidRPr="006734B4">
        <w:rPr>
          <w:u w:val="single"/>
        </w:rPr>
        <w:t>Q</w:t>
      </w:r>
    </w:p>
    <w:p w14:paraId="5F48DC8D" w14:textId="5F282C8B" w:rsidR="002B5E25" w:rsidRPr="006734B4" w:rsidRDefault="002B5E25" w:rsidP="006734B4">
      <w:pPr>
        <w:pStyle w:val="NormalWeb"/>
        <w:spacing w:before="0" w:beforeAutospacing="0" w:after="0" w:afterAutospacing="0"/>
        <w:rPr>
          <w:color w:val="4EA72E" w:themeColor="accent6"/>
        </w:rPr>
      </w:pPr>
      <w:r w:rsidRPr="006734B4">
        <w:rPr>
          <w:color w:val="4EA72E" w:themeColor="accent6"/>
        </w:rPr>
        <w:t>I</w:t>
      </w:r>
      <w:r w:rsidRPr="006734B4">
        <w:rPr>
          <w:color w:val="4EA72E" w:themeColor="accent6"/>
        </w:rPr>
        <w:t xml:space="preserve"> was still wondering if </w:t>
      </w:r>
      <w:r w:rsidRPr="006734B4">
        <w:rPr>
          <w:color w:val="4EA72E" w:themeColor="accent6"/>
        </w:rPr>
        <w:t>I</w:t>
      </w:r>
      <w:r w:rsidRPr="006734B4">
        <w:rPr>
          <w:color w:val="4EA72E" w:themeColor="accent6"/>
        </w:rPr>
        <w:t xml:space="preserve"> am doing this because </w:t>
      </w:r>
      <w:r w:rsidRPr="006734B4">
        <w:rPr>
          <w:color w:val="4EA72E" w:themeColor="accent6"/>
        </w:rPr>
        <w:t>I</w:t>
      </w:r>
      <w:r w:rsidRPr="006734B4">
        <w:rPr>
          <w:color w:val="4EA72E" w:themeColor="accent6"/>
        </w:rPr>
        <w:t xml:space="preserve"> am forced to act </w:t>
      </w:r>
      <w:r w:rsidRPr="006734B4">
        <w:rPr>
          <w:color w:val="4EA72E" w:themeColor="accent6"/>
        </w:rPr>
        <w:t>litigant</w:t>
      </w:r>
      <w:r w:rsidRPr="006734B4">
        <w:rPr>
          <w:color w:val="4EA72E" w:themeColor="accent6"/>
        </w:rPr>
        <w:t xml:space="preserve"> for myself and not because </w:t>
      </w:r>
      <w:r w:rsidRPr="006734B4">
        <w:rPr>
          <w:color w:val="4EA72E" w:themeColor="accent6"/>
        </w:rPr>
        <w:t>I</w:t>
      </w:r>
      <w:r w:rsidRPr="006734B4">
        <w:rPr>
          <w:color w:val="4EA72E" w:themeColor="accent6"/>
        </w:rPr>
        <w:t xml:space="preserve"> choose a </w:t>
      </w:r>
      <w:r w:rsidRPr="006734B4">
        <w:rPr>
          <w:color w:val="4EA72E" w:themeColor="accent6"/>
        </w:rPr>
        <w:t>profession,</w:t>
      </w:r>
      <w:r w:rsidRPr="006734B4">
        <w:rPr>
          <w:color w:val="4EA72E" w:themeColor="accent6"/>
        </w:rPr>
        <w:t xml:space="preserve"> does this have any </w:t>
      </w:r>
      <w:r w:rsidRPr="006734B4">
        <w:rPr>
          <w:color w:val="4EA72E" w:themeColor="accent6"/>
        </w:rPr>
        <w:t>bearing</w:t>
      </w:r>
      <w:r w:rsidRPr="006734B4">
        <w:rPr>
          <w:color w:val="4EA72E" w:themeColor="accent6"/>
        </w:rPr>
        <w:t xml:space="preserve"> on the situation</w:t>
      </w:r>
      <w:r w:rsidRPr="006734B4">
        <w:rPr>
          <w:color w:val="4EA72E" w:themeColor="accent6"/>
        </w:rPr>
        <w:t>?</w:t>
      </w:r>
    </w:p>
    <w:p w14:paraId="70BC8026" w14:textId="77777777" w:rsidR="00C751B6" w:rsidRPr="006734B4" w:rsidRDefault="00C751B6" w:rsidP="006734B4">
      <w:pPr>
        <w:pStyle w:val="NormalWeb"/>
        <w:spacing w:before="0" w:beforeAutospacing="0" w:after="0" w:afterAutospacing="0"/>
        <w:rPr>
          <w:color w:val="4EA72E" w:themeColor="accent6"/>
        </w:rPr>
      </w:pPr>
    </w:p>
    <w:p w14:paraId="1C359E82" w14:textId="77777777" w:rsidR="002B5E25" w:rsidRPr="006734B4" w:rsidRDefault="002B5E25" w:rsidP="006734B4">
      <w:pPr>
        <w:pStyle w:val="NormalWeb"/>
        <w:spacing w:before="0" w:beforeAutospacing="0" w:after="0" w:afterAutospacing="0"/>
        <w:rPr>
          <w:u w:val="single"/>
        </w:rPr>
      </w:pPr>
      <w:r w:rsidRPr="006734B4">
        <w:rPr>
          <w:u w:val="single"/>
        </w:rPr>
        <w:t>A</w:t>
      </w:r>
    </w:p>
    <w:p w14:paraId="39A70B4A" w14:textId="42218D46" w:rsidR="007C03E8" w:rsidRPr="006734B4" w:rsidRDefault="007C03E8" w:rsidP="006734B4">
      <w:pPr>
        <w:pStyle w:val="NormalWeb"/>
        <w:spacing w:after="0" w:afterAutospacing="0"/>
      </w:pPr>
      <w:r w:rsidRPr="006734B4">
        <w:t xml:space="preserve">Yes, the fact that you are acting as a </w:t>
      </w:r>
      <w:r w:rsidRPr="006734B4">
        <w:rPr>
          <w:rStyle w:val="Strong"/>
          <w:rFonts w:eastAsiaTheme="majorEastAsia"/>
        </w:rPr>
        <w:t>litigant in person</w:t>
      </w:r>
      <w:r w:rsidRPr="006734B4">
        <w:t xml:space="preserve"> (meaning you are representing yourself because you have to, rather than pursuing this as a professional practice) does have some bearing on your situation, particularly with regard to </w:t>
      </w:r>
      <w:r w:rsidRPr="006734B4">
        <w:rPr>
          <w:rStyle w:val="Strong"/>
          <w:rFonts w:eastAsiaTheme="majorEastAsia"/>
        </w:rPr>
        <w:t>how your compensation and benefits are assessed</w:t>
      </w:r>
      <w:r w:rsidRPr="006734B4">
        <w:t>:</w:t>
      </w:r>
    </w:p>
    <w:p w14:paraId="5868D92B"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Compensation Categorization</w:t>
      </w:r>
      <w:r w:rsidRPr="006734B4">
        <w:t>:</w:t>
      </w:r>
    </w:p>
    <w:p w14:paraId="496024CE" w14:textId="77777777" w:rsidR="007C03E8" w:rsidRPr="006734B4" w:rsidRDefault="007C03E8" w:rsidP="006734B4">
      <w:pPr>
        <w:pStyle w:val="NormalWeb"/>
        <w:numPr>
          <w:ilvl w:val="1"/>
          <w:numId w:val="8"/>
        </w:numPr>
        <w:spacing w:after="0" w:afterAutospacing="0"/>
      </w:pPr>
      <w:r w:rsidRPr="006734B4">
        <w:t>If the compensation is for expenses, financial losses, or damages incurred while pursuing the claim (like train tickets, legal fees, and other costs), it is less likely to be viewed as "income" for Universal Credit or taxation purposes.</w:t>
      </w:r>
    </w:p>
    <w:p w14:paraId="0870D90B" w14:textId="77777777" w:rsidR="007C03E8" w:rsidRDefault="007C03E8" w:rsidP="006734B4">
      <w:pPr>
        <w:pStyle w:val="NormalWeb"/>
        <w:numPr>
          <w:ilvl w:val="1"/>
          <w:numId w:val="8"/>
        </w:numPr>
        <w:spacing w:after="0" w:afterAutospacing="0"/>
      </w:pPr>
      <w:r w:rsidRPr="006734B4">
        <w:t xml:space="preserve">Acting as a litigant in person strengthens the argument that these funds are </w:t>
      </w:r>
      <w:r w:rsidRPr="006734B4">
        <w:rPr>
          <w:rStyle w:val="Strong"/>
          <w:rFonts w:eastAsiaTheme="majorEastAsia"/>
        </w:rPr>
        <w:t>reimbursements or compensatory payments</w:t>
      </w:r>
      <w:r w:rsidRPr="006734B4">
        <w:t>, not earned income.</w:t>
      </w:r>
    </w:p>
    <w:p w14:paraId="0C8E01F6" w14:textId="77777777" w:rsidR="006734B4" w:rsidRPr="006734B4" w:rsidRDefault="006734B4" w:rsidP="006734B4">
      <w:pPr>
        <w:pStyle w:val="NormalWeb"/>
        <w:spacing w:before="0" w:beforeAutospacing="0" w:after="0" w:afterAutospacing="0"/>
        <w:ind w:left="1440"/>
      </w:pPr>
    </w:p>
    <w:p w14:paraId="6C43252E"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Universal Credit Impact</w:t>
      </w:r>
      <w:r w:rsidRPr="006734B4">
        <w:t>:</w:t>
      </w:r>
    </w:p>
    <w:p w14:paraId="66F639AA" w14:textId="77777777" w:rsidR="007C03E8" w:rsidRPr="006734B4" w:rsidRDefault="007C03E8" w:rsidP="006734B4">
      <w:pPr>
        <w:pStyle w:val="NormalWeb"/>
        <w:numPr>
          <w:ilvl w:val="1"/>
          <w:numId w:val="8"/>
        </w:numPr>
        <w:spacing w:after="0" w:afterAutospacing="0"/>
      </w:pPr>
      <w:r w:rsidRPr="006734B4">
        <w:t>The Department for Work and Pensions (DWP) might still assess the compensation to determine if it affects your benefits. However, they may be more willing to consider it as a reimbursement for costs incurred while handling your own case.</w:t>
      </w:r>
    </w:p>
    <w:p w14:paraId="0F0F1497" w14:textId="77777777" w:rsidR="007C03E8" w:rsidRDefault="007C03E8" w:rsidP="006734B4">
      <w:pPr>
        <w:pStyle w:val="NormalWeb"/>
        <w:numPr>
          <w:ilvl w:val="1"/>
          <w:numId w:val="8"/>
        </w:numPr>
        <w:spacing w:after="0" w:afterAutospacing="0"/>
      </w:pPr>
      <w:r w:rsidRPr="006734B4">
        <w:t>Keeping thorough records (like receipts and invoices) showing that the funds are meant to cover specific expenses and not general earnings will be crucial.</w:t>
      </w:r>
    </w:p>
    <w:p w14:paraId="3DDF1047" w14:textId="77777777" w:rsidR="006734B4" w:rsidRPr="006734B4" w:rsidRDefault="006734B4" w:rsidP="006734B4">
      <w:pPr>
        <w:pStyle w:val="NormalWeb"/>
        <w:spacing w:before="0" w:beforeAutospacing="0" w:after="0" w:afterAutospacing="0"/>
      </w:pPr>
    </w:p>
    <w:p w14:paraId="50959290" w14:textId="77777777" w:rsidR="007C03E8" w:rsidRPr="006734B4" w:rsidRDefault="007C03E8" w:rsidP="006734B4">
      <w:pPr>
        <w:pStyle w:val="NormalWeb"/>
        <w:numPr>
          <w:ilvl w:val="0"/>
          <w:numId w:val="8"/>
        </w:numPr>
        <w:spacing w:after="0" w:afterAutospacing="0"/>
      </w:pPr>
      <w:r w:rsidRPr="006734B4">
        <w:rPr>
          <w:rStyle w:val="Strong"/>
          <w:rFonts w:eastAsiaTheme="majorEastAsia"/>
          <w:u w:val="single"/>
        </w:rPr>
        <w:t>Tax Implications</w:t>
      </w:r>
      <w:r w:rsidRPr="006734B4">
        <w:t>:</w:t>
      </w:r>
    </w:p>
    <w:p w14:paraId="15247083" w14:textId="77777777" w:rsidR="007C03E8" w:rsidRPr="006734B4" w:rsidRDefault="007C03E8" w:rsidP="006734B4">
      <w:pPr>
        <w:pStyle w:val="NormalWeb"/>
        <w:numPr>
          <w:ilvl w:val="1"/>
          <w:numId w:val="8"/>
        </w:numPr>
        <w:spacing w:after="0" w:afterAutospacing="0"/>
      </w:pPr>
      <w:r w:rsidRPr="006734B4">
        <w:t>For taxation, reimbursements for legitimate costs (e.g., legal expenses, travel, or food) are typically not taxable. Clearly distinguishing these from compensation for other matters (like financial loss or emotional distress) will help ensure they're treated appropriately.</w:t>
      </w:r>
    </w:p>
    <w:p w14:paraId="31FD0F08" w14:textId="77777777" w:rsidR="007C03E8" w:rsidRPr="006734B4" w:rsidRDefault="007C03E8" w:rsidP="006734B4">
      <w:pPr>
        <w:pStyle w:val="NormalWeb"/>
        <w:spacing w:after="0" w:afterAutospacing="0"/>
        <w:rPr>
          <w:b/>
          <w:bCs/>
          <w:u w:val="single"/>
        </w:rPr>
      </w:pPr>
      <w:bookmarkStart w:id="0" w:name="_Hlk193016892"/>
      <w:r w:rsidRPr="006734B4">
        <w:rPr>
          <w:b/>
          <w:bCs/>
          <w:u w:val="single"/>
        </w:rPr>
        <w:t>Your status as a litigant in person may actually make your situation clearer to authorities, as it's evident you're not engaging in professional or business activities but simply managing your own affairs under challenging circumstances.</w:t>
      </w:r>
    </w:p>
    <w:bookmarkEnd w:id="0"/>
    <w:p w14:paraId="54367DA5" w14:textId="77777777" w:rsidR="007C03E8" w:rsidRPr="006734B4" w:rsidRDefault="007C03E8" w:rsidP="006734B4">
      <w:pPr>
        <w:pStyle w:val="NormalWeb"/>
        <w:spacing w:after="0" w:afterAutospacing="0"/>
        <w:rPr>
          <w:color w:val="4EA72E" w:themeColor="accent6"/>
        </w:rPr>
      </w:pPr>
      <w:r w:rsidRPr="006734B4">
        <w:rPr>
          <w:color w:val="4EA72E" w:themeColor="accent6"/>
        </w:rPr>
        <w:t>If you'd like, I can help you organize your claim or prepare a concise explanation of your role as a litigant in person to present to the DWP or HMRC. Would that help?</w:t>
      </w:r>
    </w:p>
    <w:p w14:paraId="3965AA2C" w14:textId="77777777" w:rsidR="007C03E8" w:rsidRPr="006734B4" w:rsidRDefault="007C03E8" w:rsidP="006734B4">
      <w:pPr>
        <w:pStyle w:val="NormalWeb"/>
        <w:pBdr>
          <w:bottom w:val="single" w:sz="6" w:space="1" w:color="auto"/>
        </w:pBdr>
        <w:spacing w:after="0" w:afterAutospacing="0"/>
      </w:pPr>
    </w:p>
    <w:p w14:paraId="39003F80" w14:textId="77777777" w:rsidR="0059364D" w:rsidRDefault="0059364D" w:rsidP="006734B4">
      <w:pPr>
        <w:spacing w:before="100" w:beforeAutospacing="1" w:after="0" w:line="240" w:lineRule="auto"/>
        <w:rPr>
          <w:rFonts w:ascii="Times New Roman" w:eastAsia="Times New Roman" w:hAnsi="Times New Roman" w:cs="Times New Roman"/>
          <w:color w:val="4EA72E" w:themeColor="accent6"/>
          <w:kern w:val="0"/>
          <w14:ligatures w14:val="none"/>
        </w:rPr>
      </w:pPr>
      <w:r w:rsidRPr="0059364D">
        <w:rPr>
          <w:rFonts w:ascii="Times New Roman" w:eastAsia="Times New Roman" w:hAnsi="Times New Roman" w:cs="Times New Roman"/>
          <w:color w:val="4EA72E" w:themeColor="accent6"/>
          <w:kern w:val="0"/>
          <w14:ligatures w14:val="none"/>
        </w:rPr>
        <w:t>Certainly, Simon. Let me expand and adjust each point to emphasize even more that you are not engaging in professional legal activities, but instead are acting out of necessity to manage your own personal affairs:</w:t>
      </w:r>
    </w:p>
    <w:p w14:paraId="17F42FA8" w14:textId="77777777" w:rsidR="006734B4" w:rsidRPr="0059364D" w:rsidRDefault="006734B4" w:rsidP="006734B4">
      <w:pPr>
        <w:spacing w:before="100" w:beforeAutospacing="1" w:after="0" w:line="240" w:lineRule="auto"/>
        <w:rPr>
          <w:rFonts w:ascii="Times New Roman" w:eastAsia="Times New Roman" w:hAnsi="Times New Roman" w:cs="Times New Roman"/>
          <w:color w:val="4EA72E" w:themeColor="accent6"/>
          <w:kern w:val="0"/>
          <w14:ligatures w14:val="none"/>
        </w:rPr>
      </w:pPr>
    </w:p>
    <w:p w14:paraId="5990D8C1"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1. Laws and Regulations for Litigants in Person</w:t>
      </w:r>
    </w:p>
    <w:p w14:paraId="24D85A5A" w14:textId="77777777" w:rsidR="0059364D" w:rsidRPr="0059364D" w:rsidRDefault="0059364D" w:rsidP="006734B4">
      <w:pPr>
        <w:numPr>
          <w:ilvl w:val="0"/>
          <w:numId w:val="9"/>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Access to Justice</w:t>
      </w:r>
      <w:r w:rsidRPr="0059364D">
        <w:rPr>
          <w:rFonts w:ascii="Times New Roman" w:eastAsia="Times New Roman" w:hAnsi="Times New Roman" w:cs="Times New Roman"/>
          <w:kern w:val="0"/>
          <w14:ligatures w14:val="none"/>
        </w:rPr>
        <w:t>: The Handbook for Litigants in Person explicitly recognizes that self-representation is often a necessity for individuals who cannot afford legal representation or access suitable alternatives. It does not indicate any professional involvement or intent. Your self-representation underscores that you are not deriving financial or professional benefit but are simply pursuing justice for personal grievances.</w:t>
      </w:r>
    </w:p>
    <w:p w14:paraId="1B0EFA4D" w14:textId="77777777" w:rsidR="0059364D" w:rsidRPr="0059364D" w:rsidRDefault="0059364D" w:rsidP="006734B4">
      <w:pPr>
        <w:numPr>
          <w:ilvl w:val="0"/>
          <w:numId w:val="9"/>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Civil Procedure Rules (CPR)</w:t>
      </w:r>
      <w:r w:rsidRPr="0059364D">
        <w:rPr>
          <w:rFonts w:ascii="Times New Roman" w:eastAsia="Times New Roman" w:hAnsi="Times New Roman" w:cs="Times New Roman"/>
          <w:kern w:val="0"/>
          <w14:ligatures w14:val="none"/>
        </w:rPr>
        <w:t>: CPR 1.1 outlines the "Overriding Objective" to deal with cases justly, including considerations of unrepresented parties like you. Courts are directed to accommodate and assist litigants in person to ensure they are not disadvantaged simply for not being professionals in the legal field. This regulation distinguishes your actions as those of an individual seeking redress, not a legal professional.</w:t>
      </w:r>
    </w:p>
    <w:p w14:paraId="28A51A04" w14:textId="77777777" w:rsidR="0059364D" w:rsidRPr="006734B4" w:rsidRDefault="0059364D" w:rsidP="006734B4">
      <w:pPr>
        <w:numPr>
          <w:ilvl w:val="0"/>
          <w:numId w:val="9"/>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Judicial Guidance</w:t>
      </w:r>
      <w:r w:rsidRPr="0059364D">
        <w:rPr>
          <w:rFonts w:ascii="Times New Roman" w:eastAsia="Times New Roman" w:hAnsi="Times New Roman" w:cs="Times New Roman"/>
          <w:kern w:val="0"/>
          <w14:ligatures w14:val="none"/>
        </w:rPr>
        <w:t>: Judges are instructed to ensure fairness for litigants in person, such as explaining procedures more clearly. This support demonstrates that the legal system recognizes you as an individual managing your own case—not someone with professional legal expertise.</w:t>
      </w:r>
    </w:p>
    <w:p w14:paraId="6D387D3D"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60E3CE36"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2. Standards and Guidelines</w:t>
      </w:r>
    </w:p>
    <w:p w14:paraId="1E6AE7C1" w14:textId="77777777" w:rsidR="0059364D" w:rsidRPr="0059364D" w:rsidRDefault="0059364D" w:rsidP="006734B4">
      <w:pPr>
        <w:numPr>
          <w:ilvl w:val="0"/>
          <w:numId w:val="10"/>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The Law Society Guidelines</w:t>
      </w:r>
      <w:r w:rsidRPr="0059364D">
        <w:rPr>
          <w:rFonts w:ascii="Times New Roman" w:eastAsia="Times New Roman" w:hAnsi="Times New Roman" w:cs="Times New Roman"/>
          <w:kern w:val="0"/>
          <w14:ligatures w14:val="none"/>
        </w:rPr>
        <w:t>: These explicitly state that litigants in person should not be treated as professionals. The emphasis on clear communication and fairness when dealing with litigants in person highlights that your actions are distinct from professional legal activities and that you are not expected to have the skills or knowledge of a solicitor.</w:t>
      </w:r>
    </w:p>
    <w:p w14:paraId="06498D71" w14:textId="77777777" w:rsidR="0059364D" w:rsidRPr="006734B4" w:rsidRDefault="0059364D" w:rsidP="006734B4">
      <w:pPr>
        <w:numPr>
          <w:ilvl w:val="0"/>
          <w:numId w:val="10"/>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Support Resources</w:t>
      </w:r>
      <w:r w:rsidRPr="0059364D">
        <w:rPr>
          <w:rFonts w:ascii="Times New Roman" w:eastAsia="Times New Roman" w:hAnsi="Times New Roman" w:cs="Times New Roman"/>
          <w:kern w:val="0"/>
          <w14:ligatures w14:val="none"/>
        </w:rPr>
        <w:t>: Organizations like Citizens Advice and Support Through Court exist specifically because individuals like you are not legal professionals and need assistance navigating complex legal processes. Their very existence reinforces your standing as someone outside the professional legal sphere.</w:t>
      </w:r>
    </w:p>
    <w:p w14:paraId="747FD630"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4EC3CF9D"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3. Case Studies and Real-Time Data</w:t>
      </w:r>
    </w:p>
    <w:p w14:paraId="49009047" w14:textId="77777777" w:rsidR="0059364D" w:rsidRPr="0059364D" w:rsidRDefault="0059364D" w:rsidP="006734B4">
      <w:pPr>
        <w:numPr>
          <w:ilvl w:val="0"/>
          <w:numId w:val="11"/>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Procedural Barriers</w:t>
      </w:r>
      <w:r w:rsidRPr="0059364D">
        <w:rPr>
          <w:rFonts w:ascii="Times New Roman" w:eastAsia="Times New Roman" w:hAnsi="Times New Roman" w:cs="Times New Roman"/>
          <w:kern w:val="0"/>
          <w14:ligatures w14:val="none"/>
        </w:rPr>
        <w:t>: Research consistently shows that litigants in person face significant procedural challenges, such as difficulties with legal language, evidence presentation, and understanding court expectations. These challenges are faced by individuals acting out of necessity, not as part of a professional occupation. For instance, the Ministry of Justice’s review highlights the burden of self-representation on untrained individuals like you, demonstrating that your role is entirely distinct from that of a professional.</w:t>
      </w:r>
    </w:p>
    <w:p w14:paraId="35ABD041" w14:textId="77777777" w:rsidR="0059364D" w:rsidRPr="0059364D" w:rsidRDefault="0059364D" w:rsidP="006734B4">
      <w:pPr>
        <w:numPr>
          <w:ilvl w:val="0"/>
          <w:numId w:val="11"/>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Barton v Wright Hassall LLP [2018] UKSC 12</w:t>
      </w:r>
      <w:r w:rsidRPr="0059364D">
        <w:rPr>
          <w:rFonts w:ascii="Times New Roman" w:eastAsia="Times New Roman" w:hAnsi="Times New Roman" w:cs="Times New Roman"/>
          <w:kern w:val="0"/>
          <w14:ligatures w14:val="none"/>
        </w:rPr>
        <w:t>: This case emphasizes that litigants in person are not legal professionals and cannot be expected to have the same procedural knowledge. However, the case also reiterates that the judiciary must ensure fairness and assist self-represented individuals when necessary, recognizing your unique position as a non-professional.</w:t>
      </w:r>
    </w:p>
    <w:p w14:paraId="1B612D00" w14:textId="77777777" w:rsidR="0059364D" w:rsidRPr="006734B4" w:rsidRDefault="0059364D" w:rsidP="006734B4">
      <w:pPr>
        <w:numPr>
          <w:ilvl w:val="0"/>
          <w:numId w:val="11"/>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b/>
          <w:bCs/>
          <w:kern w:val="0"/>
          <w:u w:val="single"/>
          <w14:ligatures w14:val="none"/>
        </w:rPr>
        <w:t>Litigants in Person Literature Review (Ministry of Justice)</w:t>
      </w:r>
      <w:r w:rsidRPr="0059364D">
        <w:rPr>
          <w:rFonts w:ascii="Times New Roman" w:eastAsia="Times New Roman" w:hAnsi="Times New Roman" w:cs="Times New Roman"/>
          <w:kern w:val="0"/>
          <w14:ligatures w14:val="none"/>
        </w:rPr>
        <w:t>: This review reinforces the idea that individuals like you are navigating the system out of personal need, not professional interest. For example, the review found that many litigants in person only participate in legal proceedings because they have no other option.</w:t>
      </w:r>
    </w:p>
    <w:p w14:paraId="70EAFD41"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7A08153D"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4. How This Applies to Your Case</w:t>
      </w:r>
    </w:p>
    <w:p w14:paraId="2323C6DD" w14:textId="77777777" w:rsidR="0059364D" w:rsidRPr="0059364D" w:rsidRDefault="0059364D" w:rsidP="006734B4">
      <w:pPr>
        <w:numPr>
          <w:ilvl w:val="0"/>
          <w:numId w:val="12"/>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Acting as a litigant in person, you are clearly pursuing justice for personal issues rather than conducting legal work professionally. Your compensation claims stem from recovering personal losses and expenses, not from engaging in any form of legal business or providing services to others.</w:t>
      </w:r>
    </w:p>
    <w:p w14:paraId="2E90CFF2" w14:textId="77777777" w:rsidR="0059364D" w:rsidRPr="006734B4" w:rsidRDefault="0059364D" w:rsidP="006734B4">
      <w:pPr>
        <w:numPr>
          <w:ilvl w:val="0"/>
          <w:numId w:val="12"/>
        </w:numPr>
        <w:spacing w:before="100" w:beforeAutospacing="1"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The detailed evidence you’ve collected—such as your receipts, breakdown of claims, and supporting correspondence—further illustrates that you are focused on resolving personal matters, not practicing legal work in a professional capacity.</w:t>
      </w:r>
    </w:p>
    <w:p w14:paraId="7252D23A" w14:textId="77777777" w:rsidR="00C751B6" w:rsidRPr="0059364D" w:rsidRDefault="00C751B6" w:rsidP="006734B4">
      <w:pPr>
        <w:spacing w:after="0" w:line="276" w:lineRule="auto"/>
        <w:ind w:left="720"/>
        <w:rPr>
          <w:rFonts w:ascii="Times New Roman" w:eastAsia="Times New Roman" w:hAnsi="Times New Roman" w:cs="Times New Roman"/>
          <w:kern w:val="0"/>
          <w14:ligatures w14:val="none"/>
        </w:rPr>
      </w:pPr>
    </w:p>
    <w:p w14:paraId="04865195" w14:textId="77777777" w:rsidR="0059364D" w:rsidRPr="0059364D" w:rsidRDefault="0059364D" w:rsidP="006734B4">
      <w:pPr>
        <w:spacing w:after="0" w:line="276" w:lineRule="auto"/>
        <w:rPr>
          <w:rFonts w:ascii="Times New Roman" w:hAnsi="Times New Roman" w:cs="Times New Roman"/>
          <w:b/>
          <w:bCs/>
          <w:u w:val="single"/>
        </w:rPr>
      </w:pPr>
      <w:r w:rsidRPr="0059364D">
        <w:rPr>
          <w:rFonts w:ascii="Times New Roman" w:hAnsi="Times New Roman" w:cs="Times New Roman"/>
          <w:b/>
          <w:bCs/>
          <w:u w:val="single"/>
        </w:rPr>
        <w:t>5. Additional Context for Evidence</w:t>
      </w:r>
    </w:p>
    <w:p w14:paraId="2FF46C5D" w14:textId="77777777" w:rsidR="0059364D" w:rsidRPr="0059364D" w:rsidRDefault="0059364D" w:rsidP="006734B4">
      <w:pPr>
        <w:numPr>
          <w:ilvl w:val="0"/>
          <w:numId w:val="13"/>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Your meticulous documentation (e.g., receipts for expenses like train tickets and food) aligns with what courts expect from litigants in person who need to substantiate their cases—not professional legal practitioners handling client cases. The personal nature of these expenses (e.g., meals at Burger King while stranded) further reinforces that you are acting as an individual rather than as a professional.</w:t>
      </w:r>
    </w:p>
    <w:p w14:paraId="4EEDFE35" w14:textId="77777777" w:rsidR="0059364D" w:rsidRPr="006734B4" w:rsidRDefault="0059364D" w:rsidP="006734B4">
      <w:pPr>
        <w:numPr>
          <w:ilvl w:val="0"/>
          <w:numId w:val="13"/>
        </w:numPr>
        <w:spacing w:after="0" w:line="276" w:lineRule="auto"/>
        <w:rPr>
          <w:rFonts w:ascii="Times New Roman" w:eastAsia="Times New Roman" w:hAnsi="Times New Roman" w:cs="Times New Roman"/>
          <w:kern w:val="0"/>
          <w14:ligatures w14:val="none"/>
        </w:rPr>
      </w:pPr>
      <w:r w:rsidRPr="0059364D">
        <w:rPr>
          <w:rFonts w:ascii="Times New Roman" w:eastAsia="Times New Roman" w:hAnsi="Times New Roman" w:cs="Times New Roman"/>
          <w:kern w:val="0"/>
          <w14:ligatures w14:val="none"/>
        </w:rPr>
        <w:t>The emotional and logistical burdens you've described also highlight the non-professional context of your efforts. A professional legal activity wouldn’t involve such personal stakes, distress, and inconvenience.</w:t>
      </w:r>
    </w:p>
    <w:p w14:paraId="791771E2" w14:textId="77777777" w:rsidR="00C751B6" w:rsidRPr="006734B4" w:rsidRDefault="00C751B6" w:rsidP="006734B4">
      <w:pPr>
        <w:pBdr>
          <w:bottom w:val="single" w:sz="6" w:space="1" w:color="auto"/>
        </w:pBdr>
        <w:spacing w:after="0" w:line="240" w:lineRule="auto"/>
        <w:rPr>
          <w:rFonts w:ascii="Times New Roman" w:eastAsia="Times New Roman" w:hAnsi="Times New Roman" w:cs="Times New Roman"/>
          <w:kern w:val="0"/>
          <w14:ligatures w14:val="none"/>
        </w:rPr>
      </w:pPr>
    </w:p>
    <w:p w14:paraId="01B148C0" w14:textId="77777777" w:rsidR="00C751B6" w:rsidRPr="0059364D" w:rsidRDefault="00C751B6" w:rsidP="006734B4">
      <w:pPr>
        <w:spacing w:after="0" w:line="240" w:lineRule="auto"/>
        <w:rPr>
          <w:rFonts w:ascii="Times New Roman" w:eastAsia="Times New Roman" w:hAnsi="Times New Roman" w:cs="Times New Roman"/>
          <w:kern w:val="0"/>
          <w14:ligatures w14:val="none"/>
        </w:rPr>
      </w:pPr>
    </w:p>
    <w:p w14:paraId="4EDDB8A4" w14:textId="77777777" w:rsidR="0059364D" w:rsidRPr="006734B4" w:rsidRDefault="0059364D" w:rsidP="006734B4">
      <w:pPr>
        <w:pStyle w:val="NormalWeb"/>
        <w:pBdr>
          <w:bottom w:val="single" w:sz="6" w:space="1" w:color="auto"/>
        </w:pBdr>
        <w:spacing w:after="0" w:afterAutospacing="0"/>
      </w:pPr>
    </w:p>
    <w:p w14:paraId="6E1845C7" w14:textId="77777777" w:rsidR="0059364D" w:rsidRPr="006734B4" w:rsidRDefault="0059364D" w:rsidP="006734B4">
      <w:pPr>
        <w:pStyle w:val="NormalWeb"/>
        <w:pBdr>
          <w:bottom w:val="single" w:sz="6" w:space="1" w:color="auto"/>
        </w:pBdr>
        <w:spacing w:after="0" w:afterAutospacing="0"/>
      </w:pPr>
    </w:p>
    <w:p w14:paraId="29ABA9F9" w14:textId="77777777" w:rsidR="0059364D" w:rsidRPr="006734B4" w:rsidRDefault="0059364D" w:rsidP="006734B4">
      <w:pPr>
        <w:pStyle w:val="NormalWeb"/>
        <w:pBdr>
          <w:bottom w:val="single" w:sz="6" w:space="1" w:color="auto"/>
        </w:pBdr>
        <w:spacing w:after="0" w:afterAutospacing="0"/>
      </w:pPr>
    </w:p>
    <w:p w14:paraId="792887A2" w14:textId="77777777" w:rsidR="0059364D" w:rsidRPr="006734B4" w:rsidRDefault="0059364D" w:rsidP="006734B4">
      <w:pPr>
        <w:pStyle w:val="NormalWeb"/>
        <w:pBdr>
          <w:bottom w:val="single" w:sz="6" w:space="1" w:color="auto"/>
        </w:pBdr>
        <w:spacing w:after="0" w:afterAutospacing="0"/>
      </w:pPr>
    </w:p>
    <w:p w14:paraId="4278F940" w14:textId="77777777" w:rsidR="0059364D" w:rsidRPr="006734B4" w:rsidRDefault="0059364D" w:rsidP="006734B4">
      <w:pPr>
        <w:pStyle w:val="NormalWeb"/>
        <w:pBdr>
          <w:bottom w:val="single" w:sz="6" w:space="1" w:color="auto"/>
        </w:pBdr>
        <w:spacing w:after="0" w:afterAutospacing="0"/>
      </w:pPr>
    </w:p>
    <w:p w14:paraId="0C2490AE" w14:textId="77777777" w:rsidR="0059364D" w:rsidRPr="006734B4" w:rsidRDefault="0059364D" w:rsidP="006734B4">
      <w:pPr>
        <w:pStyle w:val="NormalWeb"/>
        <w:pBdr>
          <w:bottom w:val="single" w:sz="6" w:space="1" w:color="auto"/>
        </w:pBdr>
        <w:spacing w:after="0" w:afterAutospacing="0"/>
      </w:pPr>
    </w:p>
    <w:p w14:paraId="333871FF" w14:textId="77777777" w:rsidR="0059364D" w:rsidRPr="006734B4" w:rsidRDefault="0059364D" w:rsidP="006734B4">
      <w:pPr>
        <w:pStyle w:val="NormalWeb"/>
        <w:pBdr>
          <w:bottom w:val="single" w:sz="6" w:space="1" w:color="auto"/>
        </w:pBdr>
        <w:spacing w:after="0" w:afterAutospacing="0"/>
      </w:pPr>
    </w:p>
    <w:p w14:paraId="3F48CB58" w14:textId="77777777" w:rsidR="0059364D" w:rsidRPr="006734B4" w:rsidRDefault="0059364D" w:rsidP="006734B4">
      <w:pPr>
        <w:pStyle w:val="NormalWeb"/>
        <w:pBdr>
          <w:bottom w:val="single" w:sz="6" w:space="1" w:color="auto"/>
        </w:pBdr>
        <w:spacing w:after="0" w:afterAutospacing="0"/>
      </w:pPr>
    </w:p>
    <w:p w14:paraId="31235FB9" w14:textId="77777777" w:rsidR="0059364D" w:rsidRPr="006734B4" w:rsidRDefault="0059364D" w:rsidP="006734B4">
      <w:pPr>
        <w:pStyle w:val="NormalWeb"/>
        <w:pBdr>
          <w:bottom w:val="single" w:sz="6" w:space="1" w:color="auto"/>
        </w:pBdr>
        <w:spacing w:after="0" w:afterAutospacing="0"/>
      </w:pPr>
    </w:p>
    <w:p w14:paraId="726FA938" w14:textId="77777777" w:rsidR="0059364D" w:rsidRPr="006734B4" w:rsidRDefault="0059364D" w:rsidP="006734B4">
      <w:pPr>
        <w:pStyle w:val="NormalWeb"/>
        <w:spacing w:after="0" w:afterAutospacing="0"/>
      </w:pPr>
    </w:p>
    <w:p w14:paraId="7F18D2A3" w14:textId="77777777" w:rsidR="0059364D" w:rsidRPr="006734B4" w:rsidRDefault="0059364D" w:rsidP="006734B4">
      <w:pPr>
        <w:pStyle w:val="NormalWeb"/>
        <w:spacing w:after="0" w:afterAutospacing="0"/>
      </w:pPr>
    </w:p>
    <w:p w14:paraId="519573C1" w14:textId="77777777" w:rsidR="0059364D" w:rsidRPr="006734B4" w:rsidRDefault="0059364D" w:rsidP="006734B4">
      <w:pPr>
        <w:pStyle w:val="NormalWeb"/>
        <w:spacing w:after="0" w:afterAutospacing="0"/>
      </w:pPr>
    </w:p>
    <w:p w14:paraId="544C0459" w14:textId="77777777" w:rsidR="00C011BC" w:rsidRPr="006734B4" w:rsidRDefault="00C011BC" w:rsidP="006734B4">
      <w:pPr>
        <w:pStyle w:val="NormalWeb"/>
        <w:spacing w:after="0" w:afterAutospacing="0"/>
      </w:pPr>
    </w:p>
    <w:p w14:paraId="2E55AA3B" w14:textId="77777777" w:rsidR="00635426" w:rsidRPr="006734B4" w:rsidRDefault="00635426" w:rsidP="006734B4">
      <w:pPr>
        <w:pStyle w:val="NormalWeb"/>
        <w:spacing w:after="0" w:afterAutospacing="0"/>
      </w:pPr>
    </w:p>
    <w:p w14:paraId="1FFD565D" w14:textId="77777777" w:rsidR="00635426" w:rsidRPr="006734B4" w:rsidRDefault="00635426" w:rsidP="006734B4">
      <w:pPr>
        <w:pStyle w:val="NormalWeb"/>
        <w:spacing w:after="0" w:afterAutospacing="0"/>
      </w:pPr>
    </w:p>
    <w:p w14:paraId="39878B90" w14:textId="77777777" w:rsidR="00635426" w:rsidRPr="006734B4" w:rsidRDefault="00635426" w:rsidP="006734B4">
      <w:pPr>
        <w:pStyle w:val="NormalWeb"/>
        <w:spacing w:after="0" w:afterAutospacing="0"/>
      </w:pPr>
    </w:p>
    <w:p w14:paraId="03E58F00" w14:textId="77777777" w:rsidR="00635426" w:rsidRPr="006734B4" w:rsidRDefault="00635426" w:rsidP="006734B4">
      <w:pPr>
        <w:pStyle w:val="NormalWeb"/>
        <w:spacing w:after="0" w:afterAutospacing="0"/>
      </w:pPr>
    </w:p>
    <w:p w14:paraId="0C9CE24E" w14:textId="77777777" w:rsidR="00635426" w:rsidRPr="006734B4" w:rsidRDefault="00635426" w:rsidP="006734B4">
      <w:pPr>
        <w:pStyle w:val="NormalWeb"/>
        <w:spacing w:after="0" w:afterAutospacing="0"/>
      </w:pPr>
    </w:p>
    <w:p w14:paraId="6B4294E7" w14:textId="77777777" w:rsidR="00635426" w:rsidRPr="006734B4" w:rsidRDefault="00635426" w:rsidP="006734B4">
      <w:pPr>
        <w:pStyle w:val="NormalWeb"/>
        <w:spacing w:after="0" w:afterAutospacing="0"/>
      </w:pPr>
    </w:p>
    <w:p w14:paraId="10FFF157" w14:textId="77777777" w:rsidR="00110A0B" w:rsidRPr="006734B4" w:rsidRDefault="00110A0B" w:rsidP="006734B4">
      <w:pPr>
        <w:spacing w:after="0"/>
        <w:rPr>
          <w:rFonts w:ascii="Times New Roman" w:hAnsi="Times New Roman" w:cs="Times New Roman"/>
        </w:rPr>
      </w:pPr>
    </w:p>
    <w:sectPr w:rsidR="00110A0B" w:rsidRPr="006734B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FCA"/>
    <w:multiLevelType w:val="multilevel"/>
    <w:tmpl w:val="1638D94C"/>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94ABD"/>
    <w:multiLevelType w:val="multilevel"/>
    <w:tmpl w:val="D9EA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779A5"/>
    <w:multiLevelType w:val="multilevel"/>
    <w:tmpl w:val="1B08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5CD7"/>
    <w:multiLevelType w:val="multilevel"/>
    <w:tmpl w:val="CBC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C3BED"/>
    <w:multiLevelType w:val="multilevel"/>
    <w:tmpl w:val="78249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A41F1"/>
    <w:multiLevelType w:val="multilevel"/>
    <w:tmpl w:val="1DD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2C43"/>
    <w:multiLevelType w:val="multilevel"/>
    <w:tmpl w:val="8572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F4450"/>
    <w:multiLevelType w:val="multilevel"/>
    <w:tmpl w:val="0BC8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9128F"/>
    <w:multiLevelType w:val="multilevel"/>
    <w:tmpl w:val="56EE6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B82D97"/>
    <w:multiLevelType w:val="hybridMultilevel"/>
    <w:tmpl w:val="4B929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72951"/>
    <w:multiLevelType w:val="multilevel"/>
    <w:tmpl w:val="99D65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E30E0A"/>
    <w:multiLevelType w:val="multilevel"/>
    <w:tmpl w:val="AB208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D7595"/>
    <w:multiLevelType w:val="multilevel"/>
    <w:tmpl w:val="624455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2957185">
    <w:abstractNumId w:val="8"/>
  </w:num>
  <w:num w:numId="2" w16cid:durableId="2061664177">
    <w:abstractNumId w:val="6"/>
  </w:num>
  <w:num w:numId="3" w16cid:durableId="1278760171">
    <w:abstractNumId w:val="10"/>
  </w:num>
  <w:num w:numId="4" w16cid:durableId="1364358169">
    <w:abstractNumId w:val="11"/>
  </w:num>
  <w:num w:numId="5" w16cid:durableId="718938769">
    <w:abstractNumId w:val="9"/>
  </w:num>
  <w:num w:numId="6" w16cid:durableId="92484825">
    <w:abstractNumId w:val="4"/>
  </w:num>
  <w:num w:numId="7" w16cid:durableId="1090126082">
    <w:abstractNumId w:val="0"/>
  </w:num>
  <w:num w:numId="8" w16cid:durableId="1647590745">
    <w:abstractNumId w:val="12"/>
  </w:num>
  <w:num w:numId="9" w16cid:durableId="1469005635">
    <w:abstractNumId w:val="5"/>
  </w:num>
  <w:num w:numId="10" w16cid:durableId="1079643223">
    <w:abstractNumId w:val="7"/>
  </w:num>
  <w:num w:numId="11" w16cid:durableId="1573734621">
    <w:abstractNumId w:val="2"/>
  </w:num>
  <w:num w:numId="12" w16cid:durableId="766538225">
    <w:abstractNumId w:val="3"/>
  </w:num>
  <w:num w:numId="13" w16cid:durableId="1382438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A0B"/>
    <w:rsid w:val="000E3B7F"/>
    <w:rsid w:val="00110A0B"/>
    <w:rsid w:val="0028175B"/>
    <w:rsid w:val="00296948"/>
    <w:rsid w:val="002B5E25"/>
    <w:rsid w:val="003040CE"/>
    <w:rsid w:val="00343B77"/>
    <w:rsid w:val="00575E6F"/>
    <w:rsid w:val="0059364D"/>
    <w:rsid w:val="005D7941"/>
    <w:rsid w:val="00635426"/>
    <w:rsid w:val="006734B4"/>
    <w:rsid w:val="0070448F"/>
    <w:rsid w:val="00705096"/>
    <w:rsid w:val="007C03E8"/>
    <w:rsid w:val="00871B42"/>
    <w:rsid w:val="00A22D59"/>
    <w:rsid w:val="00A66B7B"/>
    <w:rsid w:val="00AD5231"/>
    <w:rsid w:val="00C011BC"/>
    <w:rsid w:val="00C751B6"/>
    <w:rsid w:val="00D46999"/>
    <w:rsid w:val="00F12BC5"/>
    <w:rsid w:val="00FB7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25B3"/>
  <w15:chartTrackingRefBased/>
  <w15:docId w15:val="{BBADFF28-1207-480A-9559-CE90A24D9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0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0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0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0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0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0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0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0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0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0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0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A0B"/>
    <w:rPr>
      <w:rFonts w:eastAsiaTheme="majorEastAsia" w:cstheme="majorBidi"/>
      <w:color w:val="272727" w:themeColor="text1" w:themeTint="D8"/>
    </w:rPr>
  </w:style>
  <w:style w:type="paragraph" w:styleId="Title">
    <w:name w:val="Title"/>
    <w:basedOn w:val="Normal"/>
    <w:next w:val="Normal"/>
    <w:link w:val="TitleChar"/>
    <w:uiPriority w:val="10"/>
    <w:qFormat/>
    <w:rsid w:val="00110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0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0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0A0B"/>
    <w:pPr>
      <w:spacing w:before="160"/>
      <w:jc w:val="center"/>
    </w:pPr>
    <w:rPr>
      <w:i/>
      <w:iCs/>
      <w:color w:val="404040" w:themeColor="text1" w:themeTint="BF"/>
    </w:rPr>
  </w:style>
  <w:style w:type="character" w:customStyle="1" w:styleId="QuoteChar">
    <w:name w:val="Quote Char"/>
    <w:basedOn w:val="DefaultParagraphFont"/>
    <w:link w:val="Quote"/>
    <w:uiPriority w:val="29"/>
    <w:rsid w:val="00110A0B"/>
    <w:rPr>
      <w:i/>
      <w:iCs/>
      <w:color w:val="404040" w:themeColor="text1" w:themeTint="BF"/>
    </w:rPr>
  </w:style>
  <w:style w:type="paragraph" w:styleId="ListParagraph">
    <w:name w:val="List Paragraph"/>
    <w:basedOn w:val="Normal"/>
    <w:uiPriority w:val="34"/>
    <w:qFormat/>
    <w:rsid w:val="00110A0B"/>
    <w:pPr>
      <w:ind w:left="720"/>
      <w:contextualSpacing/>
    </w:pPr>
  </w:style>
  <w:style w:type="character" w:styleId="IntenseEmphasis">
    <w:name w:val="Intense Emphasis"/>
    <w:basedOn w:val="DefaultParagraphFont"/>
    <w:uiPriority w:val="21"/>
    <w:qFormat/>
    <w:rsid w:val="00110A0B"/>
    <w:rPr>
      <w:i/>
      <w:iCs/>
      <w:color w:val="0F4761" w:themeColor="accent1" w:themeShade="BF"/>
    </w:rPr>
  </w:style>
  <w:style w:type="paragraph" w:styleId="IntenseQuote">
    <w:name w:val="Intense Quote"/>
    <w:basedOn w:val="Normal"/>
    <w:next w:val="Normal"/>
    <w:link w:val="IntenseQuoteChar"/>
    <w:uiPriority w:val="30"/>
    <w:qFormat/>
    <w:rsid w:val="00110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0A0B"/>
    <w:rPr>
      <w:i/>
      <w:iCs/>
      <w:color w:val="0F4761" w:themeColor="accent1" w:themeShade="BF"/>
    </w:rPr>
  </w:style>
  <w:style w:type="character" w:styleId="IntenseReference">
    <w:name w:val="Intense Reference"/>
    <w:basedOn w:val="DefaultParagraphFont"/>
    <w:uiPriority w:val="32"/>
    <w:qFormat/>
    <w:rsid w:val="00110A0B"/>
    <w:rPr>
      <w:b/>
      <w:bCs/>
      <w:smallCaps/>
      <w:color w:val="0F4761" w:themeColor="accent1" w:themeShade="BF"/>
      <w:spacing w:val="5"/>
    </w:rPr>
  </w:style>
  <w:style w:type="paragraph" w:styleId="NormalWeb">
    <w:name w:val="Normal (Web)"/>
    <w:basedOn w:val="Normal"/>
    <w:uiPriority w:val="99"/>
    <w:semiHidden/>
    <w:unhideWhenUsed/>
    <w:rsid w:val="00110A0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0A0B"/>
    <w:rPr>
      <w:b/>
      <w:bCs/>
    </w:rPr>
  </w:style>
  <w:style w:type="character" w:customStyle="1" w:styleId="mx-05">
    <w:name w:val="mx-0.5"/>
    <w:basedOn w:val="DefaultParagraphFont"/>
    <w:rsid w:val="0029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0816">
      <w:bodyDiv w:val="1"/>
      <w:marLeft w:val="0"/>
      <w:marRight w:val="0"/>
      <w:marTop w:val="0"/>
      <w:marBottom w:val="0"/>
      <w:divBdr>
        <w:top w:val="none" w:sz="0" w:space="0" w:color="auto"/>
        <w:left w:val="none" w:sz="0" w:space="0" w:color="auto"/>
        <w:bottom w:val="none" w:sz="0" w:space="0" w:color="auto"/>
        <w:right w:val="none" w:sz="0" w:space="0" w:color="auto"/>
      </w:divBdr>
    </w:div>
    <w:div w:id="84768525">
      <w:bodyDiv w:val="1"/>
      <w:marLeft w:val="0"/>
      <w:marRight w:val="0"/>
      <w:marTop w:val="0"/>
      <w:marBottom w:val="0"/>
      <w:divBdr>
        <w:top w:val="none" w:sz="0" w:space="0" w:color="auto"/>
        <w:left w:val="none" w:sz="0" w:space="0" w:color="auto"/>
        <w:bottom w:val="none" w:sz="0" w:space="0" w:color="auto"/>
        <w:right w:val="none" w:sz="0" w:space="0" w:color="auto"/>
      </w:divBdr>
    </w:div>
    <w:div w:id="234894737">
      <w:bodyDiv w:val="1"/>
      <w:marLeft w:val="0"/>
      <w:marRight w:val="0"/>
      <w:marTop w:val="0"/>
      <w:marBottom w:val="0"/>
      <w:divBdr>
        <w:top w:val="none" w:sz="0" w:space="0" w:color="auto"/>
        <w:left w:val="none" w:sz="0" w:space="0" w:color="auto"/>
        <w:bottom w:val="none" w:sz="0" w:space="0" w:color="auto"/>
        <w:right w:val="none" w:sz="0" w:space="0" w:color="auto"/>
      </w:divBdr>
      <w:divsChild>
        <w:div w:id="1348362526">
          <w:marLeft w:val="0"/>
          <w:marRight w:val="0"/>
          <w:marTop w:val="0"/>
          <w:marBottom w:val="0"/>
          <w:divBdr>
            <w:top w:val="none" w:sz="0" w:space="0" w:color="auto"/>
            <w:left w:val="none" w:sz="0" w:space="0" w:color="auto"/>
            <w:bottom w:val="none" w:sz="0" w:space="0" w:color="auto"/>
            <w:right w:val="none" w:sz="0" w:space="0" w:color="auto"/>
          </w:divBdr>
          <w:divsChild>
            <w:div w:id="77214482">
              <w:marLeft w:val="0"/>
              <w:marRight w:val="0"/>
              <w:marTop w:val="0"/>
              <w:marBottom w:val="0"/>
              <w:divBdr>
                <w:top w:val="none" w:sz="0" w:space="0" w:color="auto"/>
                <w:left w:val="none" w:sz="0" w:space="0" w:color="auto"/>
                <w:bottom w:val="none" w:sz="0" w:space="0" w:color="auto"/>
                <w:right w:val="none" w:sz="0" w:space="0" w:color="auto"/>
              </w:divBdr>
              <w:divsChild>
                <w:div w:id="15672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29835">
          <w:marLeft w:val="0"/>
          <w:marRight w:val="0"/>
          <w:marTop w:val="0"/>
          <w:marBottom w:val="0"/>
          <w:divBdr>
            <w:top w:val="none" w:sz="0" w:space="0" w:color="auto"/>
            <w:left w:val="none" w:sz="0" w:space="0" w:color="auto"/>
            <w:bottom w:val="none" w:sz="0" w:space="0" w:color="auto"/>
            <w:right w:val="none" w:sz="0" w:space="0" w:color="auto"/>
          </w:divBdr>
          <w:divsChild>
            <w:div w:id="10653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98516">
      <w:bodyDiv w:val="1"/>
      <w:marLeft w:val="0"/>
      <w:marRight w:val="0"/>
      <w:marTop w:val="0"/>
      <w:marBottom w:val="0"/>
      <w:divBdr>
        <w:top w:val="none" w:sz="0" w:space="0" w:color="auto"/>
        <w:left w:val="none" w:sz="0" w:space="0" w:color="auto"/>
        <w:bottom w:val="none" w:sz="0" w:space="0" w:color="auto"/>
        <w:right w:val="none" w:sz="0" w:space="0" w:color="auto"/>
      </w:divBdr>
    </w:div>
    <w:div w:id="616331891">
      <w:bodyDiv w:val="1"/>
      <w:marLeft w:val="0"/>
      <w:marRight w:val="0"/>
      <w:marTop w:val="0"/>
      <w:marBottom w:val="0"/>
      <w:divBdr>
        <w:top w:val="none" w:sz="0" w:space="0" w:color="auto"/>
        <w:left w:val="none" w:sz="0" w:space="0" w:color="auto"/>
        <w:bottom w:val="none" w:sz="0" w:space="0" w:color="auto"/>
        <w:right w:val="none" w:sz="0" w:space="0" w:color="auto"/>
      </w:divBdr>
    </w:div>
    <w:div w:id="909265845">
      <w:bodyDiv w:val="1"/>
      <w:marLeft w:val="0"/>
      <w:marRight w:val="0"/>
      <w:marTop w:val="0"/>
      <w:marBottom w:val="0"/>
      <w:divBdr>
        <w:top w:val="none" w:sz="0" w:space="0" w:color="auto"/>
        <w:left w:val="none" w:sz="0" w:space="0" w:color="auto"/>
        <w:bottom w:val="none" w:sz="0" w:space="0" w:color="auto"/>
        <w:right w:val="none" w:sz="0" w:space="0" w:color="auto"/>
      </w:divBdr>
    </w:div>
    <w:div w:id="1130784284">
      <w:bodyDiv w:val="1"/>
      <w:marLeft w:val="0"/>
      <w:marRight w:val="0"/>
      <w:marTop w:val="0"/>
      <w:marBottom w:val="0"/>
      <w:divBdr>
        <w:top w:val="none" w:sz="0" w:space="0" w:color="auto"/>
        <w:left w:val="none" w:sz="0" w:space="0" w:color="auto"/>
        <w:bottom w:val="none" w:sz="0" w:space="0" w:color="auto"/>
        <w:right w:val="none" w:sz="0" w:space="0" w:color="auto"/>
      </w:divBdr>
    </w:div>
    <w:div w:id="1259410761">
      <w:bodyDiv w:val="1"/>
      <w:marLeft w:val="0"/>
      <w:marRight w:val="0"/>
      <w:marTop w:val="0"/>
      <w:marBottom w:val="0"/>
      <w:divBdr>
        <w:top w:val="none" w:sz="0" w:space="0" w:color="auto"/>
        <w:left w:val="none" w:sz="0" w:space="0" w:color="auto"/>
        <w:bottom w:val="none" w:sz="0" w:space="0" w:color="auto"/>
        <w:right w:val="none" w:sz="0" w:space="0" w:color="auto"/>
      </w:divBdr>
    </w:div>
    <w:div w:id="1504278211">
      <w:bodyDiv w:val="1"/>
      <w:marLeft w:val="0"/>
      <w:marRight w:val="0"/>
      <w:marTop w:val="0"/>
      <w:marBottom w:val="0"/>
      <w:divBdr>
        <w:top w:val="none" w:sz="0" w:space="0" w:color="auto"/>
        <w:left w:val="none" w:sz="0" w:space="0" w:color="auto"/>
        <w:bottom w:val="none" w:sz="0" w:space="0" w:color="auto"/>
        <w:right w:val="none" w:sz="0" w:space="0" w:color="auto"/>
      </w:divBdr>
    </w:div>
    <w:div w:id="20332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cp:revision>
  <dcterms:created xsi:type="dcterms:W3CDTF">2025-03-16T11:42:00Z</dcterms:created>
  <dcterms:modified xsi:type="dcterms:W3CDTF">2025-03-16T12:11:00Z</dcterms:modified>
</cp:coreProperties>
</file>